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lang w:eastAsia="zh-CN"/>
        </w:rPr>
      </w:pPr>
      <w:r>
        <w:rPr>
          <w:rFonts w:hint="eastAsia" w:ascii="方正小标宋_GBK" w:hAnsi="方正小标宋_GBK" w:eastAsia="方正小标宋_GBK"/>
          <w:sz w:val="44"/>
          <w:szCs w:val="44"/>
          <w:highlight w:val="none"/>
        </w:rPr>
        <w:t>新疆塔城地区额敏县喇嘛昭乡学校</w:t>
      </w: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lang w:val="en-US" w:eastAsia="zh-CN"/>
        </w:rPr>
      </w:pPr>
      <w:r>
        <w:rPr>
          <w:rFonts w:hint="eastAsia" w:ascii="方正小标宋_GBK" w:hAnsi="方正小标宋_GBK" w:eastAsia="方正小标宋_GBK"/>
          <w:sz w:val="44"/>
          <w:szCs w:val="44"/>
          <w:highlight w:val="none"/>
        </w:rPr>
        <w:t>2022年度部门决算公开说明</w:t>
      </w:r>
      <w:r>
        <w:rPr>
          <w:rFonts w:hint="eastAsia" w:ascii="方正小标宋_GBK" w:hAnsi="方正小标宋_GBK" w:eastAsia="方正小标宋_GBK"/>
          <w:sz w:val="44"/>
          <w:szCs w:val="44"/>
          <w:highlight w:val="none"/>
          <w:lang w:val="en-US" w:eastAsia="zh-CN"/>
        </w:rPr>
        <w:t xml:space="preserve"> </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(1)宣传贯彻执行党和国家的教育方针、政策和法律法规及上级行政部门的行政规章。</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(２)根据县人民政府制定的教育事业发展政策，实施九年义务教育，扫除青壮年文盲。</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(３)按照干部和教师的人数、编制和管理权限，负责对本校 的干部和教师进行管理。</w:t>
      </w:r>
      <w:r>
        <w:rPr>
          <w:rFonts w:hint="eastAsia" w:ascii="仿宋_GB2312" w:eastAsia="仿宋_GB2312"/>
          <w:sz w:val="32"/>
          <w:szCs w:val="32"/>
          <w:highlight w:val="none"/>
        </w:rPr>
        <w:br w:type="textWrapping"/>
      </w:r>
      <w:r>
        <w:rPr>
          <w:rFonts w:hint="eastAsia" w:ascii="仿宋_GB2312" w:eastAsia="仿宋_GB2312"/>
          <w:sz w:val="32"/>
          <w:szCs w:val="32"/>
          <w:highlight w:val="none"/>
        </w:rPr>
        <w:t>　</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(4)按照上级有关部门的规定，负责对本校义务教育的基建进行管理。</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新疆塔城地区额敏县喇嘛昭乡学校2022年度，实有人数67人，其中：在职人员48人，离休人员0人，退休人员19人。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从部门决算单位构成看，新疆塔城地区额敏县喇嘛昭乡学校部门决算包括：新疆塔城地区额敏县喇嘛昭乡学校决算。单位无下属预算单位，下设</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个处室，分别是：教务办公室、综合办公室。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收入总计817.87万元</w:t>
      </w:r>
      <w:r>
        <w:rPr>
          <w:rFonts w:hint="eastAsia" w:ascii="仿宋_GB2312" w:eastAsia="仿宋_GB2312"/>
          <w:sz w:val="32"/>
          <w:szCs w:val="32"/>
          <w:highlight w:val="none"/>
          <w:lang w:eastAsia="zh-CN"/>
        </w:rPr>
        <w:t>，其中：本年收入合计817.87万元，使用非财政拨款结余0.00万元，年初结转和结余0.00万元。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增加120.13万元，增长17.22%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：本年度调增人员工资，并发放了2017年、2020年度一个季度绩效工资，收入增</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本年支出总计817.87万元</w:t>
      </w:r>
      <w:r>
        <w:rPr>
          <w:rFonts w:hint="eastAsia" w:ascii="仿宋_GB2312" w:eastAsia="仿宋_GB2312"/>
          <w:sz w:val="32"/>
          <w:szCs w:val="32"/>
          <w:highlight w:val="none"/>
          <w:lang w:eastAsia="zh-CN"/>
        </w:rPr>
        <w:t>，其中：本年支出合计817.87万元，结余分配0.00万元，年末结转和结余0.00万元。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，增加120.13万元，增长17.22%，主要原因是</w:t>
      </w:r>
      <w:r>
        <w:rPr>
          <w:rFonts w:hint="eastAsia" w:ascii="仿宋_GB2312" w:eastAsia="仿宋_GB2312"/>
          <w:sz w:val="32"/>
          <w:szCs w:val="32"/>
          <w:highlight w:val="none"/>
        </w:rPr>
        <w:t>：本年度调增人员工资，并发放了2017年、2020年度一个季度绩效工资，</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817.87万元，其中：财政拨款收入817.87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本年支出817.87万元，其中：基本支出801.03万元，占97.94%；项目支出16.84万元，占2.06%；上缴上级支出0.00万元，占0.00%；经营支出0.00万元，占0.00%；对附属单位补助支出0.00万元，占0.00%。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财政拨款收入总计817.87万元，其中：年初财政拨款结转和结余0.00万元，财政拨款本年收入817.87万元。财政拨款收入总计与上年相比，增加120.13万元，增长17.22%，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本年基本工资调资5.65万元，发放奖励性绩效23.9万元，补发2020年3个月绩效22.1万元，2017年3个月绩效17万元，基础绩效奖励48.48万元，其他经费及工资3万元。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财政拨款支出总计817.87万元，其中：年末财政拨款结转和结余0.00万元，财政拨款本年支出817.87万元。财政拨款支出总计与上年相比，增加120.13万元，增长17.22%，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本年基本工资调资5.65万元，发放奖励性绩效23.9万元，补发2020年3个月绩效22.1万元，2017年3个月绩效17万元，基础绩效奖励48.48万元，其他经费及工资3万元。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与年初预算数相比情况：财政拨款收入总计年初预算数732.72万元，决算数817.87万元，预决算差异率11.62%，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基本工资调资5.65万元，发放奖励性绩效23.9万元，补发2020年3个月绩效22.1万元，2017年3个月绩效17万元，基础绩效奖励48.48万元，其他经费及工资3万元,故预决算存在差异。财政拨款支出总计年初预算数732.72万元，决算数817.87万元，预决算差异率11.62%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本年基本工资调资5.65万元，发放奖励性绩效23.9万元，补发2020年3个月绩效22.1万元，2017年3个月绩效17万元，基础绩效奖励48.48万元，其他经费及工资3万元,故预决算存在差异。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817.87万元，占本年支出合计的100.00%，与上年相比，增加120.13万元，增长17.22%，主要原因是：本年基本工资调资5.65万元，发放奖励性绩效23.9万元，补发2020年3个月绩效22.1万元，2017年3个月绩效17万元，基础绩效奖励48.48万元，其他经费及工资3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1.教育支出（类）641.57万元，占78.44%。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2.社会保障和就业支出（类）89.56万元，占10.95%。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3.卫生健康支出（类）31.56万元，占3.86%。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4.住房保障支出（类）55.17万元，占6.75%。</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1.教育支出（类）普通教育（款）学前教育（项）：支出决算数为98.97万元，比上年决算增加27.12万元，增长37.75%，主要原因是：</w:t>
      </w:r>
      <w:r>
        <w:rPr>
          <w:rFonts w:hint="eastAsia" w:ascii="仿宋_GB2312" w:eastAsia="仿宋_GB2312"/>
          <w:sz w:val="32"/>
          <w:szCs w:val="32"/>
          <w:highlight w:val="none"/>
        </w:rPr>
        <w:t>本年度调增人员工资，并发放了2017年、2020年度一个季度绩效工资，</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2.教育支出（类）普通教育（款）小学教育（项）：支出决算数为542.61万元，比上年决算增加81.48万元，增长17.67%，主要原因是：</w:t>
      </w:r>
      <w:r>
        <w:rPr>
          <w:rFonts w:hint="eastAsia" w:ascii="仿宋_GB2312" w:eastAsia="仿宋_GB2312"/>
          <w:sz w:val="32"/>
          <w:szCs w:val="32"/>
          <w:highlight w:val="none"/>
        </w:rPr>
        <w:t>本年度调增人员工资，并发放了2017年、2020年度一个季度绩效工资，</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增</w:t>
      </w:r>
      <w:r>
        <w:rPr>
          <w:rFonts w:hint="eastAsia" w:ascii="仿宋_GB2312" w:eastAsia="仿宋_GB2312"/>
          <w:sz w:val="32"/>
          <w:szCs w:val="32"/>
          <w:highlight w:val="none"/>
          <w:lang w:val="en-US" w:eastAsia="zh-CN"/>
        </w:rPr>
        <w:t>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事业单位离退休（项）：支出决算数为15.35万元，比上年决算增加2.37万元，增长18.35%，主要原因是：本年年初发放退休基础绩效奖励工资1.98万元，且有新增两名退休教师。</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机关事业单位基本养老保险缴费支出（项）：支出决算数为63.61万元，比上年决算增加0.26万元，增长0.41%，主要原因是：全体教职工工资正常晋升、绩效工资调标致使工资基数增加导致机关事业单位基本养老保险基数提高，单位的机关事业单位基本养老保险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社会保障和就业支出（类）行政事业单位养老支出（款）机关事业单位职业年金缴费支出（项）：支出决算数为10.60万元，比上年决算增加5.74万元，增长118.11%，主要原因是：本年2名教师退休，发放退休教师职业年金，比上年退休教师职业年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6.卫生健康支出（类）行政事业单位医疗（款）事业单位医疗（项）：支出决算数为31.56万元，比上年决算减少4.50万元，下降12.48%，主要原因是：本年事业单位医疗缴费比率下降，比上年决算减少。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住房保障支出（类）住房改革支出（款）住房公积金（项）：支出决算数为55.17万元，比上年决算增加7.66万元，增长16.10%，主要原因是：全体教职工工资正常晋升、绩效工资调标致使工资基数增加导致住房公积金基数提高，单位的住房公积金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2022年度一般公共预算财政拨款基本支出801.03万元，其中：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798.81万元，包括：基本工资、津贴补贴、奖金、绩效工资、机关事业单位基本养老保险缴费、职业年金缴费、职工基本医疗保险缴费、其他社会保障缴费、住房公积金、其他工资福利支出、退休费、助学金、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公用经费2.22万元，包括：取暖费。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三公”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与全年预算数相比情况：“三公”经费支出全年预算数0.00万元，决算数0.00万元，预决算差异率0.00%，主要原因是：我单位无“三公”费支出，预决算无差异。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公务用车运行费全年预算数0.00万元，决算数0.00万元，预决算差异率0.00%，主要原因是：我单位未安排公务用车运行费，预决算无差异；</w:t>
      </w:r>
      <w:r>
        <w:rPr>
          <w:rFonts w:hint="eastAsia" w:ascii="仿宋_GB2312" w:eastAsia="仿宋_GB2312"/>
          <w:sz w:val="32"/>
          <w:szCs w:val="32"/>
          <w:highlight w:val="none"/>
        </w:rPr>
        <w:t>公务接待费全年预算数0.00万元，决算数0.00万元，预决算差异率0.00%，主要原因是：我单位未安排公务接待费，预决算无差异。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2022年度新疆塔城地区额敏县喇嘛昭乡学校（事业单位）公用经费2.22万元，比上年增加2.22万元，增长100%，主要原因是：本年部分公用取暖费基本支出里支付，上年均在项目支出。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2022年度政府采购支出总额1.62万元，其中：政府采购货物支出1.62万元、政府采购工程支出0.00万元、政府采购服务支出0.00万元。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1.62</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1.62</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黑体" w:hAnsi="黑体" w:eastAsia="黑体" w:cs="宋体"/>
          <w:kern w:val="0"/>
          <w:sz w:val="32"/>
          <w:szCs w:val="32"/>
          <w:highlight w:val="none"/>
          <w:lang w:eastAsia="zh-CN"/>
        </w:rPr>
      </w:pPr>
      <w:r>
        <w:rPr>
          <w:rFonts w:hint="eastAsia" w:ascii="仿宋_GB2312" w:eastAsia="仿宋_GB2312"/>
          <w:sz w:val="32"/>
          <w:szCs w:val="32"/>
          <w:highlight w:val="none"/>
          <w:lang w:eastAsia="zh-CN"/>
        </w:rPr>
        <w:t>截止2022年12月31日，固定资产原值1,001.07万元，房屋4,453.08平方米，价值754.72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bookmarkStart w:id="32" w:name="_Toc11283"/>
      <w:bookmarkStart w:id="33" w:name="_Toc43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0"/>
        <w:rPr>
          <w:rFonts w:hint="eastAsia" w:ascii="黑体" w:hAnsi="黑体" w:eastAsia="黑体"/>
          <w:sz w:val="32"/>
          <w:szCs w:val="32"/>
          <w:highlight w:val="none"/>
        </w:rPr>
      </w:pPr>
      <w:bookmarkStart w:id="34" w:name="_Toc24143"/>
      <w:bookmarkStart w:id="35" w:name="_Toc3250"/>
      <w:bookmarkStart w:id="54" w:name="_GoBack"/>
      <w:bookmarkEnd w:id="54"/>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5626"/>
      <w:bookmarkStart w:id="49" w:name="_Toc8884"/>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5453"/>
      <w:bookmarkStart w:id="53" w:name="_Toc764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18C519F"/>
    <w:rsid w:val="019A6F9F"/>
    <w:rsid w:val="057743B8"/>
    <w:rsid w:val="05B64EE1"/>
    <w:rsid w:val="06C4362D"/>
    <w:rsid w:val="07BA4922"/>
    <w:rsid w:val="082F0F7A"/>
    <w:rsid w:val="085B1D6F"/>
    <w:rsid w:val="086F75C9"/>
    <w:rsid w:val="08FA6E92"/>
    <w:rsid w:val="09EA5159"/>
    <w:rsid w:val="0A570314"/>
    <w:rsid w:val="0AC74BC7"/>
    <w:rsid w:val="0F015689"/>
    <w:rsid w:val="0FED38B1"/>
    <w:rsid w:val="11AC0F46"/>
    <w:rsid w:val="16423D78"/>
    <w:rsid w:val="18702CCD"/>
    <w:rsid w:val="1ADA5FD2"/>
    <w:rsid w:val="1AED2CFB"/>
    <w:rsid w:val="1B8D1DE8"/>
    <w:rsid w:val="1CD6156D"/>
    <w:rsid w:val="205B0707"/>
    <w:rsid w:val="206155F1"/>
    <w:rsid w:val="215869F4"/>
    <w:rsid w:val="259124D5"/>
    <w:rsid w:val="27335F39"/>
    <w:rsid w:val="2AE00186"/>
    <w:rsid w:val="2EF7784D"/>
    <w:rsid w:val="30185CCC"/>
    <w:rsid w:val="30BC12CD"/>
    <w:rsid w:val="31834988"/>
    <w:rsid w:val="33971FB8"/>
    <w:rsid w:val="34DF500B"/>
    <w:rsid w:val="389820A0"/>
    <w:rsid w:val="3A940645"/>
    <w:rsid w:val="3C8A61A4"/>
    <w:rsid w:val="3D0777F5"/>
    <w:rsid w:val="3E0E070F"/>
    <w:rsid w:val="3F297BAE"/>
    <w:rsid w:val="42CF2B62"/>
    <w:rsid w:val="440920A4"/>
    <w:rsid w:val="485853A8"/>
    <w:rsid w:val="487D4DCB"/>
    <w:rsid w:val="4953791E"/>
    <w:rsid w:val="4B546F73"/>
    <w:rsid w:val="4BD96800"/>
    <w:rsid w:val="4D01600E"/>
    <w:rsid w:val="4E9702AC"/>
    <w:rsid w:val="50E53551"/>
    <w:rsid w:val="51750D79"/>
    <w:rsid w:val="52691F60"/>
    <w:rsid w:val="530A54F1"/>
    <w:rsid w:val="5354676C"/>
    <w:rsid w:val="547277F2"/>
    <w:rsid w:val="5705494D"/>
    <w:rsid w:val="5733470D"/>
    <w:rsid w:val="59142C25"/>
    <w:rsid w:val="59975605"/>
    <w:rsid w:val="5B5B0FE0"/>
    <w:rsid w:val="5BD20B76"/>
    <w:rsid w:val="5CC17396"/>
    <w:rsid w:val="606A5821"/>
    <w:rsid w:val="60F63558"/>
    <w:rsid w:val="64BB664B"/>
    <w:rsid w:val="67242BCD"/>
    <w:rsid w:val="68694610"/>
    <w:rsid w:val="68D221B5"/>
    <w:rsid w:val="697274F4"/>
    <w:rsid w:val="6AD9782B"/>
    <w:rsid w:val="6B930322"/>
    <w:rsid w:val="6DEC1F6B"/>
    <w:rsid w:val="705604C3"/>
    <w:rsid w:val="70B74702"/>
    <w:rsid w:val="70EB650A"/>
    <w:rsid w:val="716745CA"/>
    <w:rsid w:val="73370942"/>
    <w:rsid w:val="74DF0134"/>
    <w:rsid w:val="757C1E26"/>
    <w:rsid w:val="759E7FEF"/>
    <w:rsid w:val="75E41091"/>
    <w:rsid w:val="765406AD"/>
    <w:rsid w:val="77132317"/>
    <w:rsid w:val="79CE0777"/>
    <w:rsid w:val="79EB757B"/>
    <w:rsid w:val="7A020420"/>
    <w:rsid w:val="7A9B2D4F"/>
    <w:rsid w:val="7CE457C1"/>
    <w:rsid w:val="7FCC26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5385</Words>
  <Characters>6158</Characters>
  <Lines>0</Lines>
  <Paragraphs>0</Paragraphs>
  <TotalTime>6</TotalTime>
  <ScaleCrop>false</ScaleCrop>
  <LinksUpToDate>false</LinksUpToDate>
  <CharactersWithSpaces>6175</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2024-06-21T14:03:14Z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F3EEBA54385A4E85B539C9B437809B8D_13</vt:lpwstr>
  </property>
</Properties>
</file>