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djustRightInd/>
        <w:snapToGrid/>
        <w:spacing w:line="240" w:lineRule="auto"/>
        <w:jc w:val="both"/>
        <w:textAlignment w:val="auto"/>
        <w:rPr>
          <w:rFonts w:hint="eastAsia" w:ascii="方正小标宋_GBK" w:hAnsi="方正小标宋_GBK" w:eastAsia="方正小标宋_GBK"/>
          <w:sz w:val="44"/>
          <w:szCs w:val="44"/>
          <w:highlight w:val="none"/>
        </w:rPr>
      </w:pPr>
    </w:p>
    <w:p>
      <w:pPr>
        <w:keepNext w:val="0"/>
        <w:keepLines w:val="0"/>
        <w:pageBreakBefore w:val="0"/>
        <w:widowControl w:val="0"/>
        <w:kinsoku/>
        <w:wordWrap/>
        <w:overflowPunct/>
        <w:topLinePunct w:val="0"/>
        <w:adjustRightInd/>
        <w:snapToGrid/>
        <w:spacing w:line="240" w:lineRule="auto"/>
        <w:jc w:val="center"/>
        <w:textAlignment w:val="auto"/>
        <w:rPr>
          <w:rFonts w:hint="eastAsia" w:ascii="方正小标宋_GBK" w:hAnsi="方正小标宋_GBK" w:eastAsia="方正小标宋_GBK"/>
          <w:sz w:val="44"/>
          <w:szCs w:val="44"/>
          <w:highlight w:val="none"/>
        </w:rPr>
      </w:pPr>
    </w:p>
    <w:p>
      <w:pPr>
        <w:keepNext w:val="0"/>
        <w:keepLines w:val="0"/>
        <w:pageBreakBefore w:val="0"/>
        <w:widowControl w:val="0"/>
        <w:kinsoku/>
        <w:wordWrap/>
        <w:overflowPunct/>
        <w:topLinePunct w:val="0"/>
        <w:adjustRightInd/>
        <w:snapToGrid/>
        <w:spacing w:line="240" w:lineRule="auto"/>
        <w:jc w:val="center"/>
        <w:textAlignment w:val="auto"/>
        <w:rPr>
          <w:rFonts w:hint="eastAsia" w:ascii="方正小标宋_GBK" w:hAnsi="方正小标宋_GBK" w:eastAsia="方正小标宋_GBK"/>
          <w:sz w:val="44"/>
          <w:szCs w:val="44"/>
          <w:highlight w:val="none"/>
        </w:rPr>
      </w:pPr>
    </w:p>
    <w:p>
      <w:pPr>
        <w:keepNext w:val="0"/>
        <w:keepLines w:val="0"/>
        <w:pageBreakBefore w:val="0"/>
        <w:widowControl w:val="0"/>
        <w:kinsoku/>
        <w:wordWrap/>
        <w:overflowPunct/>
        <w:topLinePunct w:val="0"/>
        <w:adjustRightInd/>
        <w:snapToGrid/>
        <w:spacing w:line="240" w:lineRule="auto"/>
        <w:jc w:val="center"/>
        <w:textAlignment w:val="auto"/>
        <w:rPr>
          <w:rFonts w:hint="eastAsia" w:ascii="方正小标宋_GBK" w:hAnsi="方正小标宋_GBK" w:eastAsia="方正小标宋_GBK"/>
          <w:sz w:val="44"/>
          <w:szCs w:val="44"/>
          <w:highlight w:val="none"/>
        </w:rPr>
      </w:pPr>
    </w:p>
    <w:p>
      <w:pPr>
        <w:keepNext w:val="0"/>
        <w:keepLines w:val="0"/>
        <w:pageBreakBefore w:val="0"/>
        <w:widowControl w:val="0"/>
        <w:kinsoku/>
        <w:wordWrap/>
        <w:overflowPunct/>
        <w:topLinePunct w:val="0"/>
        <w:adjustRightInd/>
        <w:snapToGrid/>
        <w:spacing w:line="240" w:lineRule="auto"/>
        <w:jc w:val="center"/>
        <w:textAlignment w:val="auto"/>
        <w:rPr>
          <w:rFonts w:hint="eastAsia" w:ascii="方正小标宋_GBK" w:hAnsi="方正小标宋_GBK" w:eastAsia="方正小标宋_GBK"/>
          <w:sz w:val="44"/>
          <w:szCs w:val="44"/>
          <w:highlight w:val="none"/>
        </w:rPr>
      </w:pPr>
      <w:r>
        <w:rPr>
          <w:rFonts w:hint="eastAsia" w:ascii="方正小标宋_GBK" w:hAnsi="方正小标宋_GBK" w:eastAsia="方正小标宋_GBK"/>
          <w:sz w:val="44"/>
          <w:szCs w:val="44"/>
          <w:highlight w:val="none"/>
        </w:rPr>
        <w:t>新疆塔城地区额敏县阔什比克良种场村镇规划建设发展中心2022年度部门决算公开说明</w:t>
      </w:r>
    </w:p>
    <w:p>
      <w:pPr>
        <w:keepNext w:val="0"/>
        <w:keepLines w:val="0"/>
        <w:pageBreakBefore w:val="0"/>
        <w:widowControl w:val="0"/>
        <w:kinsoku/>
        <w:wordWrap/>
        <w:overflowPunct/>
        <w:topLinePunct w:val="0"/>
        <w:autoSpaceDE/>
        <w:autoSpaceDN/>
        <w:adjustRightInd/>
        <w:snapToGrid/>
        <w:spacing w:line="240" w:lineRule="auto"/>
        <w:ind w:left="0" w:leftChars="0"/>
        <w:jc w:val="center"/>
        <w:textAlignment w:val="auto"/>
        <w:rPr>
          <w:rFonts w:hint="eastAsia" w:ascii="仿宋_GB2312" w:hAnsi="仿宋_GB2312" w:eastAsia="仿宋_GB2312" w:cs="仿宋_GB2312"/>
          <w:b w:val="0"/>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kern w:val="0"/>
          <w:sz w:val="36"/>
          <w:szCs w:val="36"/>
          <w:highlight w:val="none"/>
        </w:rPr>
        <w:t>目 录</w:t>
      </w:r>
    </w:p>
    <w:p>
      <w:pPr>
        <w:pStyle w:val="6"/>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b/>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sz w:val="32"/>
          <w:szCs w:val="32"/>
          <w:highlight w:val="none"/>
        </w:rPr>
        <w:fldChar w:fldCharType="begin"/>
      </w:r>
      <w:r>
        <w:rPr>
          <w:rFonts w:hint="eastAsia" w:ascii="仿宋_GB2312" w:hAnsi="仿宋_GB2312" w:eastAsia="仿宋_GB2312" w:cs="仿宋_GB2312"/>
          <w:b/>
          <w:sz w:val="32"/>
          <w:szCs w:val="32"/>
          <w:highlight w:val="none"/>
        </w:rPr>
        <w:instrText xml:space="preserve"> HYPERLINK \l _Toc32314</w:instrText>
      </w:r>
      <w:r>
        <w:rPr>
          <w:rFonts w:hint="eastAsia" w:ascii="仿宋_GB2312" w:hAnsi="仿宋_GB2312" w:eastAsia="仿宋_GB2312" w:cs="仿宋_GB2312"/>
          <w:b/>
          <w:sz w:val="32"/>
          <w:szCs w:val="32"/>
          <w:highlight w:val="none"/>
        </w:rPr>
        <w:fldChar w:fldCharType="separate"/>
      </w:r>
      <w:r>
        <w:rPr>
          <w:rFonts w:hint="eastAsia" w:ascii="仿宋_GB2312" w:hAnsi="仿宋_GB2312" w:eastAsia="仿宋_GB2312" w:cs="仿宋_GB2312"/>
          <w:b/>
          <w:sz w:val="32"/>
          <w:szCs w:val="32"/>
          <w:highlight w:val="none"/>
        </w:rPr>
        <w:t>第一部分 单位概况</w:t>
      </w:r>
      <w:r>
        <w:rPr>
          <w:rFonts w:hint="eastAsia" w:ascii="仿宋_GB2312" w:hAnsi="仿宋_GB2312" w:eastAsia="仿宋_GB2312" w:cs="仿宋_GB2312"/>
          <w:b/>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_Toc30567</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kern w:val="0"/>
          <w:sz w:val="32"/>
          <w:szCs w:val="32"/>
          <w:highlight w:val="none"/>
        </w:rPr>
        <w:t>一、主要职能</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_Toc2151</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kern w:val="0"/>
          <w:sz w:val="32"/>
          <w:szCs w:val="32"/>
          <w:highlight w:val="none"/>
        </w:rPr>
        <w:t>二、机构设置</w:t>
      </w:r>
      <w:r>
        <w:rPr>
          <w:rFonts w:hint="eastAsia" w:ascii="仿宋_GB2312" w:hAnsi="仿宋_GB2312" w:eastAsia="仿宋_GB2312" w:cs="仿宋_GB2312"/>
          <w:kern w:val="0"/>
          <w:sz w:val="32"/>
          <w:szCs w:val="32"/>
          <w:highlight w:val="none"/>
          <w:lang w:eastAsia="zh-CN"/>
        </w:rPr>
        <w:t>及人员</w:t>
      </w:r>
      <w:r>
        <w:rPr>
          <w:rFonts w:hint="eastAsia" w:ascii="仿宋_GB2312" w:hAnsi="仿宋_GB2312" w:eastAsia="仿宋_GB2312" w:cs="仿宋_GB2312"/>
          <w:kern w:val="0"/>
          <w:sz w:val="32"/>
          <w:szCs w:val="32"/>
          <w:highlight w:val="none"/>
        </w:rPr>
        <w:t>情况</w:t>
      </w:r>
      <w:r>
        <w:rPr>
          <w:rFonts w:hint="eastAsia" w:ascii="仿宋_GB2312" w:hAnsi="仿宋_GB2312" w:eastAsia="仿宋_GB2312" w:cs="仿宋_GB2312"/>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highlight w:val="none"/>
        </w:rPr>
        <w:fldChar w:fldCharType="begin"/>
      </w:r>
      <w:r>
        <w:rPr>
          <w:rFonts w:hint="eastAsia" w:ascii="仿宋_GB2312" w:hAnsi="仿宋_GB2312" w:eastAsia="仿宋_GB2312" w:cs="仿宋_GB2312"/>
          <w:b/>
          <w:sz w:val="32"/>
          <w:szCs w:val="32"/>
          <w:highlight w:val="none"/>
        </w:rPr>
        <w:instrText xml:space="preserve"> HYPERLINK \l _Toc29374</w:instrText>
      </w:r>
      <w:r>
        <w:rPr>
          <w:rFonts w:hint="eastAsia" w:ascii="仿宋_GB2312" w:hAnsi="仿宋_GB2312" w:eastAsia="仿宋_GB2312" w:cs="仿宋_GB2312"/>
          <w:b/>
          <w:sz w:val="32"/>
          <w:szCs w:val="32"/>
          <w:highlight w:val="none"/>
        </w:rPr>
        <w:fldChar w:fldCharType="separate"/>
      </w:r>
      <w:r>
        <w:rPr>
          <w:rFonts w:hint="eastAsia" w:ascii="仿宋_GB2312" w:hAnsi="仿宋_GB2312" w:eastAsia="仿宋_GB2312" w:cs="仿宋_GB2312"/>
          <w:b/>
          <w:sz w:val="32"/>
          <w:szCs w:val="32"/>
          <w:highlight w:val="none"/>
        </w:rPr>
        <w:t>第二部分 部门决算情况说明</w:t>
      </w:r>
      <w:r>
        <w:rPr>
          <w:rFonts w:hint="eastAsia" w:ascii="仿宋_GB2312" w:hAnsi="仿宋_GB2312" w:eastAsia="仿宋_GB2312" w:cs="仿宋_GB2312"/>
          <w:b/>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_Toc25314</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_Toc12142</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kern w:val="0"/>
          <w:sz w:val="32"/>
          <w:szCs w:val="32"/>
          <w:highlight w:val="none"/>
          <w:lang w:eastAsia="zh-CN"/>
        </w:rPr>
        <w:t>二、</w:t>
      </w:r>
      <w:r>
        <w:rPr>
          <w:rFonts w:hint="eastAsia" w:ascii="仿宋_GB2312" w:hAnsi="仿宋_GB2312" w:eastAsia="仿宋_GB2312" w:cs="仿宋_GB2312"/>
          <w:kern w:val="0"/>
          <w:sz w:val="32"/>
          <w:szCs w:val="32"/>
          <w:highlight w:val="none"/>
        </w:rPr>
        <w:t>收入</w:t>
      </w:r>
      <w:r>
        <w:rPr>
          <w:rFonts w:hint="eastAsia" w:ascii="仿宋_GB2312" w:hAnsi="仿宋_GB2312" w:eastAsia="仿宋_GB2312" w:cs="仿宋_GB2312"/>
          <w:kern w:val="0"/>
          <w:sz w:val="32"/>
          <w:szCs w:val="32"/>
          <w:highlight w:val="none"/>
          <w:lang w:eastAsia="zh-CN"/>
        </w:rPr>
        <w:t>决算</w:t>
      </w:r>
      <w:r>
        <w:rPr>
          <w:rFonts w:hint="eastAsia" w:ascii="仿宋_GB2312" w:hAnsi="仿宋_GB2312" w:eastAsia="仿宋_GB2312" w:cs="仿宋_GB2312"/>
          <w:kern w:val="0"/>
          <w:sz w:val="32"/>
          <w:szCs w:val="32"/>
          <w:highlight w:val="none"/>
        </w:rPr>
        <w:t>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_Toc13201</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_Toc26564</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_Toc20360</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_Toc30870</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_Toc21518</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kern w:val="0"/>
          <w:sz w:val="32"/>
          <w:szCs w:val="32"/>
          <w:highlight w:val="none"/>
          <w:lang w:eastAsia="zh-CN"/>
        </w:rPr>
        <w:t>七</w:t>
      </w:r>
      <w:r>
        <w:rPr>
          <w:rFonts w:hint="eastAsia" w:ascii="仿宋_GB2312" w:hAnsi="仿宋_GB2312" w:eastAsia="仿宋_GB2312" w:cs="仿宋_GB2312"/>
          <w:kern w:val="0"/>
          <w:sz w:val="32"/>
          <w:szCs w:val="32"/>
          <w:highlight w:val="none"/>
        </w:rPr>
        <w:t>、</w:t>
      </w:r>
      <w:r>
        <w:rPr>
          <w:rFonts w:hint="eastAsia" w:ascii="仿宋_GB2312" w:hAnsi="仿宋_GB2312" w:eastAsia="仿宋_GB2312" w:cs="仿宋_GB2312"/>
          <w:kern w:val="0"/>
          <w:sz w:val="32"/>
          <w:szCs w:val="32"/>
          <w:highlight w:val="none"/>
          <w:lang w:eastAsia="zh-CN"/>
        </w:rPr>
        <w:t>财政拨款</w:t>
      </w:r>
      <w:r>
        <w:rPr>
          <w:rFonts w:hint="eastAsia" w:ascii="仿宋_GB2312" w:hAnsi="仿宋_GB2312" w:eastAsia="仿宋_GB2312" w:cs="仿宋_GB2312"/>
          <w:kern w:val="0"/>
          <w:sz w:val="32"/>
          <w:szCs w:val="32"/>
          <w:highlight w:val="none"/>
        </w:rPr>
        <w:t>“三公”经费支出</w:t>
      </w:r>
      <w:r>
        <w:rPr>
          <w:rFonts w:hint="eastAsia" w:ascii="仿宋_GB2312" w:hAnsi="仿宋_GB2312" w:eastAsia="仿宋_GB2312" w:cs="仿宋_GB2312"/>
          <w:kern w:val="0"/>
          <w:sz w:val="32"/>
          <w:szCs w:val="32"/>
          <w:highlight w:val="none"/>
          <w:lang w:eastAsia="zh-CN"/>
        </w:rPr>
        <w:t>决算</w:t>
      </w:r>
      <w:r>
        <w:rPr>
          <w:rFonts w:hint="eastAsia" w:ascii="仿宋_GB2312" w:hAnsi="仿宋_GB2312" w:eastAsia="仿宋_GB2312" w:cs="仿宋_GB2312"/>
          <w:kern w:val="0"/>
          <w:sz w:val="32"/>
          <w:szCs w:val="32"/>
          <w:highlight w:val="none"/>
        </w:rPr>
        <w:t>情况</w:t>
      </w:r>
      <w:r>
        <w:rPr>
          <w:rFonts w:hint="eastAsia" w:ascii="仿宋_GB2312" w:hAnsi="仿宋_GB2312" w:eastAsia="仿宋_GB2312" w:cs="仿宋_GB2312"/>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_Toc5810</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kern w:val="0"/>
          <w:sz w:val="32"/>
          <w:szCs w:val="32"/>
          <w:highlight w:val="none"/>
          <w:lang w:eastAsia="zh-CN"/>
        </w:rPr>
        <w:t>八、政府性基金预算财政拨款收入支出决算情况说明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_Toc5810</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kern w:val="0"/>
          <w:sz w:val="32"/>
          <w:szCs w:val="32"/>
          <w:highlight w:val="none"/>
          <w:lang w:eastAsia="zh-CN"/>
        </w:rPr>
        <w:t>九、国有资本经营预算财政拨款收入支出决算情况说明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_Toc1235</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kern w:val="0"/>
          <w:sz w:val="32"/>
          <w:szCs w:val="32"/>
          <w:highlight w:val="none"/>
          <w:lang w:eastAsia="zh-CN"/>
        </w:rPr>
        <w:t>十</w:t>
      </w:r>
      <w:r>
        <w:rPr>
          <w:rFonts w:hint="eastAsia" w:ascii="仿宋_GB2312" w:hAnsi="仿宋_GB2312" w:eastAsia="仿宋_GB2312" w:cs="仿宋_GB2312"/>
          <w:kern w:val="0"/>
          <w:sz w:val="32"/>
          <w:szCs w:val="32"/>
          <w:highlight w:val="none"/>
        </w:rPr>
        <w:t>、其他重要事项的情况</w:t>
      </w:r>
      <w:r>
        <w:rPr>
          <w:rFonts w:hint="eastAsia" w:ascii="仿宋_GB2312" w:hAnsi="仿宋_GB2312" w:eastAsia="仿宋_GB2312" w:cs="仿宋_GB2312"/>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_Toc14519</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机关运行经费支出情况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_Toc227</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_Toc8391</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_Toc11283</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kern w:val="0"/>
          <w:sz w:val="32"/>
          <w:szCs w:val="32"/>
          <w:highlight w:val="none"/>
          <w:lang w:eastAsia="zh-CN"/>
        </w:rPr>
        <w:t>十一、预算绩效的情况说明</w:t>
      </w:r>
      <w:r>
        <w:rPr>
          <w:rFonts w:hint="eastAsia" w:ascii="仿宋_GB2312" w:hAnsi="仿宋_GB2312" w:eastAsia="仿宋_GB2312" w:cs="仿宋_GB2312"/>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highlight w:val="none"/>
        </w:rPr>
        <w:fldChar w:fldCharType="begin"/>
      </w:r>
      <w:r>
        <w:rPr>
          <w:rFonts w:hint="eastAsia" w:ascii="仿宋_GB2312" w:hAnsi="仿宋_GB2312" w:eastAsia="仿宋_GB2312" w:cs="仿宋_GB2312"/>
          <w:b/>
          <w:sz w:val="32"/>
          <w:szCs w:val="32"/>
          <w:highlight w:val="none"/>
        </w:rPr>
        <w:instrText xml:space="preserve"> HYPERLINK \l _Toc3250</w:instrText>
      </w:r>
      <w:r>
        <w:rPr>
          <w:rFonts w:hint="eastAsia" w:ascii="仿宋_GB2312" w:hAnsi="仿宋_GB2312" w:eastAsia="仿宋_GB2312" w:cs="仿宋_GB2312"/>
          <w:b/>
          <w:sz w:val="32"/>
          <w:szCs w:val="32"/>
          <w:highlight w:val="none"/>
        </w:rPr>
        <w:fldChar w:fldCharType="separate"/>
      </w:r>
      <w:r>
        <w:rPr>
          <w:rFonts w:hint="eastAsia" w:ascii="仿宋_GB2312" w:hAnsi="仿宋_GB2312" w:eastAsia="仿宋_GB2312" w:cs="仿宋_GB2312"/>
          <w:b/>
          <w:sz w:val="32"/>
          <w:szCs w:val="32"/>
          <w:highlight w:val="none"/>
        </w:rPr>
        <w:t>第三部分 专业名词解释</w:t>
      </w:r>
      <w:r>
        <w:rPr>
          <w:rFonts w:hint="eastAsia" w:ascii="仿宋_GB2312" w:hAnsi="仿宋_GB2312" w:eastAsia="仿宋_GB2312" w:cs="仿宋_GB2312"/>
          <w:b/>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highlight w:val="none"/>
        </w:rPr>
        <w:fldChar w:fldCharType="begin"/>
      </w:r>
      <w:r>
        <w:rPr>
          <w:rFonts w:hint="eastAsia" w:ascii="仿宋_GB2312" w:hAnsi="仿宋_GB2312" w:eastAsia="仿宋_GB2312" w:cs="仿宋_GB2312"/>
          <w:b/>
          <w:sz w:val="32"/>
          <w:szCs w:val="32"/>
          <w:highlight w:val="none"/>
        </w:rPr>
        <w:instrText xml:space="preserve"> HYPERLINK \l _Toc22784</w:instrText>
      </w:r>
      <w:r>
        <w:rPr>
          <w:rFonts w:hint="eastAsia" w:ascii="仿宋_GB2312" w:hAnsi="仿宋_GB2312" w:eastAsia="仿宋_GB2312" w:cs="仿宋_GB2312"/>
          <w:b/>
          <w:sz w:val="32"/>
          <w:szCs w:val="32"/>
          <w:highlight w:val="none"/>
        </w:rPr>
        <w:fldChar w:fldCharType="separate"/>
      </w:r>
      <w:r>
        <w:rPr>
          <w:rFonts w:hint="eastAsia" w:ascii="仿宋_GB2312" w:hAnsi="仿宋_GB2312" w:eastAsia="仿宋_GB2312" w:cs="仿宋_GB2312"/>
          <w:b/>
          <w:sz w:val="32"/>
          <w:szCs w:val="32"/>
          <w:highlight w:val="none"/>
        </w:rPr>
        <w:t>第四部分 部门决算报表（见附表）</w:t>
      </w:r>
      <w:r>
        <w:rPr>
          <w:rFonts w:hint="eastAsia" w:ascii="仿宋_GB2312" w:hAnsi="仿宋_GB2312" w:eastAsia="仿宋_GB2312" w:cs="仿宋_GB2312"/>
          <w:b/>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_Toc2183</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_Toc24532</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_Toc32434</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_Toc28786</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_Toc14869</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_Toc8884</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_Toc29106</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kern w:val="0"/>
          <w:sz w:val="32"/>
          <w:szCs w:val="32"/>
          <w:highlight w:val="none"/>
        </w:rPr>
        <w:t>七、《财政拨款“三公”经费支出决算表》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_Toc7643</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kern w:val="0"/>
          <w:sz w:val="32"/>
          <w:szCs w:val="32"/>
          <w:highlight w:val="none"/>
        </w:rPr>
        <w:t>八、《政府性基金预算财政拨款收入支出决算表》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_Toc7643</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kern w:val="0"/>
          <w:sz w:val="32"/>
          <w:szCs w:val="32"/>
          <w:highlight w:val="none"/>
        </w:rPr>
        <w:t>九、《国有资本经营预算财政拨款收入支出决算表》</w:t>
      </w:r>
      <w:r>
        <w:rPr>
          <w:rFonts w:hint="eastAsia" w:ascii="仿宋_GB2312" w:hAnsi="仿宋_GB2312" w:eastAsia="仿宋_GB2312" w:cs="仿宋_GB2312"/>
          <w:sz w:val="32"/>
          <w:szCs w:val="32"/>
          <w:highlight w:val="none"/>
        </w:rPr>
        <w:fldChar w:fldCharType="end"/>
      </w:r>
    </w:p>
    <w:p>
      <w:pPr>
        <w:keepNext w:val="0"/>
        <w:keepLines w:val="0"/>
        <w:pageBreakBefore w:val="0"/>
        <w:widowControl w:val="0"/>
        <w:kinsoku/>
        <w:wordWrap/>
        <w:overflowPunct/>
        <w:topLinePunct w:val="0"/>
        <w:autoSpaceDE/>
        <w:autoSpaceDN/>
        <w:adjustRightInd/>
        <w:snapToGrid/>
        <w:ind w:left="0" w:leftChars="0"/>
        <w:jc w:val="both"/>
        <w:textAlignment w:val="auto"/>
        <w:rPr>
          <w:highlight w:val="none"/>
        </w:rPr>
      </w:pPr>
      <w:r>
        <w:rPr>
          <w:rFonts w:hint="eastAsia" w:ascii="仿宋_GB2312" w:hAnsi="仿宋_GB2312" w:eastAsia="仿宋_GB2312" w:cs="仿宋_GB2312"/>
          <w:sz w:val="32"/>
          <w:szCs w:val="32"/>
          <w:highlight w:val="none"/>
        </w:rPr>
        <w:fldChar w:fldCharType="end"/>
      </w:r>
    </w:p>
    <w:p>
      <w:pPr>
        <w:keepNext w:val="0"/>
        <w:keepLines w:val="0"/>
        <w:pageBreakBefore w:val="0"/>
        <w:widowControl w:val="0"/>
        <w:kinsoku/>
        <w:wordWrap/>
        <w:overflowPunct/>
        <w:topLinePunct w:val="0"/>
        <w:autoSpaceDE/>
        <w:autoSpaceDN/>
        <w:adjustRightInd/>
        <w:snapToGrid/>
        <w:spacing w:line="240" w:lineRule="auto"/>
        <w:ind w:firstLine="640" w:firstLineChars="200"/>
        <w:jc w:val="center"/>
        <w:textAlignment w:val="auto"/>
        <w:outlineLvl w:val="0"/>
        <w:rPr>
          <w:rFonts w:hint="eastAsia" w:ascii="黑体" w:hAnsi="黑体" w:eastAsia="黑体"/>
          <w:sz w:val="32"/>
          <w:szCs w:val="32"/>
          <w:highlight w:val="none"/>
        </w:rPr>
      </w:pPr>
      <w:r>
        <w:rPr>
          <w:rFonts w:hint="eastAsia" w:ascii="仿宋_GB2312" w:eastAsia="仿宋_GB2312"/>
          <w:sz w:val="32"/>
          <w:szCs w:val="32"/>
          <w:highlight w:val="none"/>
        </w:rPr>
        <w:br w:type="page"/>
      </w:r>
      <w:bookmarkStart w:id="0" w:name="_Toc24028"/>
      <w:bookmarkStart w:id="1" w:name="_Toc32314"/>
      <w:r>
        <w:rPr>
          <w:rFonts w:hint="eastAsia" w:ascii="黑体" w:hAnsi="黑体" w:eastAsia="黑体"/>
          <w:sz w:val="32"/>
          <w:szCs w:val="32"/>
          <w:highlight w:val="none"/>
        </w:rPr>
        <w:t>第一部分 单位概况</w:t>
      </w:r>
      <w:bookmarkEnd w:id="0"/>
      <w:bookmarkEnd w:id="1"/>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default" w:ascii="黑体" w:hAnsi="黑体" w:eastAsia="黑体" w:cs="宋体"/>
          <w:kern w:val="0"/>
          <w:sz w:val="32"/>
          <w:szCs w:val="32"/>
          <w:highlight w:val="none"/>
        </w:rPr>
      </w:pPr>
      <w:bookmarkStart w:id="2" w:name="_Toc30738"/>
      <w:bookmarkStart w:id="3" w:name="_Toc30567"/>
      <w:r>
        <w:rPr>
          <w:rFonts w:hint="eastAsia" w:ascii="黑体" w:hAnsi="黑体" w:eastAsia="黑体" w:cs="宋体"/>
          <w:kern w:val="0"/>
          <w:sz w:val="32"/>
          <w:szCs w:val="32"/>
          <w:highlight w:val="none"/>
        </w:rPr>
        <w:t>一、主要职能</w:t>
      </w:r>
      <w:bookmarkEnd w:id="2"/>
      <w:bookmarkEnd w:id="3"/>
    </w:p>
    <w:p>
      <w:pPr>
        <w:keepNext w:val="0"/>
        <w:keepLines w:val="0"/>
        <w:pageBreakBefore w:val="0"/>
        <w:widowControl w:val="0"/>
        <w:kinsoku/>
        <w:wordWrap/>
        <w:overflowPunct/>
        <w:topLinePunct w:val="0"/>
        <w:adjustRightInd/>
        <w:snapToGrid/>
        <w:spacing w:line="240" w:lineRule="auto"/>
        <w:ind w:firstLine="640" w:firstLineChars="200"/>
        <w:jc w:val="both"/>
        <w:textAlignment w:val="auto"/>
        <w:rPr>
          <w:rFonts w:hint="eastAsia" w:ascii="仿宋_GB2312" w:eastAsia="仿宋_GB2312"/>
          <w:sz w:val="32"/>
          <w:szCs w:val="32"/>
          <w:highlight w:val="none"/>
        </w:rPr>
      </w:pPr>
      <w:r>
        <w:rPr>
          <w:rFonts w:hint="eastAsia" w:ascii="仿宋_GB2312" w:eastAsia="仿宋_GB2312"/>
          <w:sz w:val="32"/>
          <w:szCs w:val="32"/>
          <w:highlight w:val="none"/>
        </w:rPr>
        <w:t>（1）负责辖区内土地利用总体规划和村庄建设规划编制的前期基础性工作和指导实施;</w:t>
      </w:r>
      <w:r>
        <w:rPr>
          <w:rFonts w:hint="eastAsia" w:ascii="仿宋_GB2312" w:eastAsia="仿宋_GB2312"/>
          <w:sz w:val="32"/>
          <w:szCs w:val="32"/>
          <w:highlight w:val="none"/>
        </w:rPr>
        <w:br w:type="textWrapping"/>
      </w:r>
      <w:r>
        <w:rPr>
          <w:rFonts w:hint="eastAsia" w:ascii="仿宋_GB2312" w:eastAsia="仿宋_GB2312"/>
          <w:sz w:val="32"/>
          <w:szCs w:val="32"/>
          <w:highlight w:val="none"/>
        </w:rPr>
        <w:t>　　（2）负责辖区基本农田保护措施和耕地保护目标责任书的落实;</w:t>
      </w:r>
      <w:r>
        <w:rPr>
          <w:rFonts w:hint="eastAsia" w:ascii="仿宋_GB2312" w:eastAsia="仿宋_GB2312"/>
          <w:sz w:val="32"/>
          <w:szCs w:val="32"/>
          <w:highlight w:val="none"/>
        </w:rPr>
        <w:br w:type="textWrapping"/>
      </w:r>
      <w:r>
        <w:rPr>
          <w:rFonts w:hint="eastAsia" w:ascii="仿宋_GB2312" w:eastAsia="仿宋_GB2312"/>
          <w:sz w:val="32"/>
          <w:szCs w:val="32"/>
          <w:highlight w:val="none"/>
        </w:rPr>
        <w:t>　　（3）负责建设用地、设施农用地、临时用地、农村宅基地划拨的前期物资预审和技术性工作;</w:t>
      </w:r>
      <w:r>
        <w:rPr>
          <w:rFonts w:hint="eastAsia" w:ascii="仿宋_GB2312" w:eastAsia="仿宋_GB2312"/>
          <w:sz w:val="32"/>
          <w:szCs w:val="32"/>
          <w:highlight w:val="none"/>
        </w:rPr>
        <w:br w:type="textWrapping"/>
      </w:r>
      <w:r>
        <w:rPr>
          <w:rFonts w:hint="eastAsia" w:ascii="仿宋_GB2312" w:eastAsia="仿宋_GB2312"/>
          <w:sz w:val="32"/>
          <w:szCs w:val="32"/>
          <w:highlight w:val="none"/>
        </w:rPr>
        <w:t>　　（4）负责国土资源统计、变更登记及各类用地的调查、审核、申报;</w:t>
      </w:r>
      <w:r>
        <w:rPr>
          <w:rFonts w:hint="eastAsia" w:ascii="仿宋_GB2312" w:eastAsia="仿宋_GB2312"/>
          <w:sz w:val="32"/>
          <w:szCs w:val="32"/>
          <w:highlight w:val="none"/>
        </w:rPr>
        <w:br w:type="textWrapping"/>
      </w:r>
      <w:r>
        <w:rPr>
          <w:rFonts w:hint="eastAsia" w:ascii="仿宋_GB2312" w:eastAsia="仿宋_GB2312"/>
          <w:sz w:val="32"/>
          <w:szCs w:val="32"/>
          <w:highlight w:val="none"/>
          <w:lang w:val="en-US" w:eastAsia="zh-CN"/>
        </w:rPr>
        <w:t xml:space="preserve">    </w:t>
      </w:r>
      <w:r>
        <w:rPr>
          <w:rFonts w:hint="eastAsia" w:ascii="仿宋_GB2312" w:eastAsia="仿宋_GB2312"/>
          <w:sz w:val="32"/>
          <w:szCs w:val="32"/>
          <w:highlight w:val="none"/>
        </w:rPr>
        <w:t>（5）做好各类建设用地和矿产资源日常管理,地质灾害、地质环境的监测、报告;</w:t>
      </w:r>
      <w:r>
        <w:rPr>
          <w:rFonts w:hint="eastAsia" w:ascii="仿宋_GB2312" w:eastAsia="仿宋_GB2312"/>
          <w:sz w:val="32"/>
          <w:szCs w:val="32"/>
          <w:highlight w:val="none"/>
        </w:rPr>
        <w:br w:type="textWrapping"/>
      </w:r>
      <w:r>
        <w:rPr>
          <w:rFonts w:hint="eastAsia" w:ascii="仿宋_GB2312" w:eastAsia="仿宋_GB2312"/>
          <w:sz w:val="32"/>
          <w:szCs w:val="32"/>
          <w:highlight w:val="none"/>
        </w:rPr>
        <w:t xml:space="preserve">　　（6）负责国土资源检查,对违法行为调查取证、制止、报告; </w:t>
      </w:r>
      <w:r>
        <w:rPr>
          <w:rFonts w:hint="eastAsia" w:ascii="仿宋_GB2312" w:eastAsia="仿宋_GB2312"/>
          <w:sz w:val="32"/>
          <w:szCs w:val="32"/>
          <w:highlight w:val="none"/>
        </w:rPr>
        <w:br w:type="textWrapping"/>
      </w:r>
      <w:r>
        <w:rPr>
          <w:rFonts w:hint="eastAsia" w:ascii="仿宋_GB2312" w:eastAsia="仿宋_GB2312"/>
          <w:sz w:val="32"/>
          <w:szCs w:val="32"/>
          <w:highlight w:val="none"/>
        </w:rPr>
        <w:t>　　（7）配合做好辖区内土地权属纠纷、村镇规划建设和环境保护类矛盾纠纷调解工作；</w:t>
      </w:r>
      <w:r>
        <w:rPr>
          <w:rFonts w:hint="eastAsia" w:ascii="仿宋_GB2312" w:eastAsia="仿宋_GB2312"/>
          <w:sz w:val="32"/>
          <w:szCs w:val="32"/>
          <w:highlight w:val="none"/>
        </w:rPr>
        <w:br w:type="textWrapping"/>
      </w:r>
      <w:r>
        <w:rPr>
          <w:rFonts w:hint="eastAsia" w:ascii="仿宋_GB2312" w:eastAsia="仿宋_GB2312"/>
          <w:sz w:val="32"/>
          <w:szCs w:val="32"/>
          <w:highlight w:val="none"/>
        </w:rPr>
        <w:t>　　（8）负责农村生态环境保护、农村建设管理服务规划建设和旅游发展等工作;</w:t>
      </w:r>
      <w:r>
        <w:rPr>
          <w:rFonts w:hint="eastAsia" w:ascii="仿宋_GB2312" w:eastAsia="仿宋_GB2312"/>
          <w:sz w:val="32"/>
          <w:szCs w:val="32"/>
          <w:highlight w:val="none"/>
        </w:rPr>
        <w:br w:type="textWrapping"/>
      </w:r>
      <w:r>
        <w:rPr>
          <w:rFonts w:hint="eastAsia" w:ascii="仿宋_GB2312" w:eastAsia="仿宋_GB2312"/>
          <w:sz w:val="32"/>
          <w:szCs w:val="32"/>
          <w:highlight w:val="none"/>
        </w:rPr>
        <w:t>　　（9）完成场管委、政府和上级业务部门交办的其他工作。</w:t>
      </w:r>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rPr>
      </w:pPr>
      <w:bookmarkStart w:id="4" w:name="_Toc31238"/>
      <w:bookmarkStart w:id="5" w:name="_Toc2151"/>
      <w:r>
        <w:rPr>
          <w:rFonts w:hint="eastAsia" w:ascii="黑体" w:hAnsi="黑体" w:eastAsia="黑体" w:cs="宋体"/>
          <w:kern w:val="0"/>
          <w:sz w:val="32"/>
          <w:szCs w:val="32"/>
          <w:highlight w:val="none"/>
        </w:rPr>
        <w:t>二、机构设置</w:t>
      </w:r>
      <w:r>
        <w:rPr>
          <w:rFonts w:hint="eastAsia" w:ascii="黑体" w:hAnsi="黑体" w:eastAsia="黑体" w:cs="宋体"/>
          <w:kern w:val="0"/>
          <w:sz w:val="32"/>
          <w:szCs w:val="32"/>
          <w:highlight w:val="none"/>
          <w:lang w:eastAsia="zh-CN"/>
        </w:rPr>
        <w:t>及</w:t>
      </w:r>
      <w:bookmarkEnd w:id="4"/>
      <w:r>
        <w:rPr>
          <w:rFonts w:hint="eastAsia" w:ascii="黑体" w:hAnsi="黑体" w:eastAsia="黑体" w:cs="宋体"/>
          <w:kern w:val="0"/>
          <w:sz w:val="32"/>
          <w:szCs w:val="32"/>
          <w:highlight w:val="none"/>
          <w:lang w:eastAsia="zh-CN"/>
        </w:rPr>
        <w:t>人员</w:t>
      </w:r>
      <w:r>
        <w:rPr>
          <w:rFonts w:hint="eastAsia" w:ascii="黑体" w:hAnsi="黑体" w:eastAsia="黑体" w:cs="宋体"/>
          <w:kern w:val="0"/>
          <w:sz w:val="32"/>
          <w:szCs w:val="32"/>
          <w:highlight w:val="none"/>
        </w:rPr>
        <w:t>情况</w:t>
      </w:r>
      <w:bookmarkEnd w:id="5"/>
    </w:p>
    <w:p>
      <w:pPr>
        <w:keepNext w:val="0"/>
        <w:keepLines w:val="0"/>
        <w:pageBreakBefore w:val="0"/>
        <w:widowControl w:val="0"/>
        <w:kinsoku/>
        <w:wordWrap/>
        <w:overflowPunct/>
        <w:topLinePunct w:val="0"/>
        <w:adjustRightInd/>
        <w:snapToGrid/>
        <w:spacing w:line="240" w:lineRule="auto"/>
        <w:ind w:firstLine="640" w:firstLineChars="200"/>
        <w:jc w:val="both"/>
        <w:textAlignment w:val="auto"/>
        <w:rPr>
          <w:rFonts w:hint="eastAsia" w:ascii="仿宋_GB2312" w:eastAsia="仿宋_GB2312"/>
          <w:sz w:val="32"/>
          <w:szCs w:val="32"/>
          <w:highlight w:val="none"/>
        </w:rPr>
      </w:pPr>
      <w:r>
        <w:rPr>
          <w:rFonts w:hint="eastAsia" w:ascii="仿宋_GB2312" w:eastAsia="仿宋_GB2312"/>
          <w:sz w:val="32"/>
          <w:szCs w:val="32"/>
          <w:highlight w:val="none"/>
        </w:rPr>
        <w:t>新疆塔城地区额敏县阔什比克良种场村镇规划建设发展中心2022年度，实有人数5人，其中：在职人员5人，离休人员0人，退休人员0人。</w:t>
      </w:r>
    </w:p>
    <w:p>
      <w:pPr>
        <w:keepNext w:val="0"/>
        <w:keepLines w:val="0"/>
        <w:pageBreakBefore w:val="0"/>
        <w:widowControl w:val="0"/>
        <w:kinsoku/>
        <w:wordWrap/>
        <w:overflowPunct/>
        <w:topLinePunct w:val="0"/>
        <w:adjustRightInd/>
        <w:snapToGrid/>
        <w:spacing w:line="240" w:lineRule="auto"/>
        <w:ind w:firstLine="640" w:firstLineChars="200"/>
        <w:jc w:val="both"/>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lang w:eastAsia="zh-CN"/>
        </w:rPr>
        <w:t>从部门决算单位构成看，新疆塔城地区额敏县阔什比克良种场村镇规划建设发展中心部门决算包括：新疆塔城地区额敏县阔什比克良种场村镇规划建设发展中心决算。单位无下属预算单位，下设1个处室，分别是：办公室。</w:t>
      </w:r>
    </w:p>
    <w:p>
      <w:pPr>
        <w:keepNext w:val="0"/>
        <w:keepLines w:val="0"/>
        <w:pageBreakBefore w:val="0"/>
        <w:widowControl w:val="0"/>
        <w:kinsoku/>
        <w:wordWrap/>
        <w:overflowPunct/>
        <w:topLinePunct w:val="0"/>
        <w:autoSpaceDE/>
        <w:autoSpaceDN/>
        <w:adjustRightInd/>
        <w:snapToGrid/>
        <w:spacing w:line="240" w:lineRule="auto"/>
        <w:ind w:firstLine="562" w:firstLineChars="200"/>
        <w:jc w:val="center"/>
        <w:textAlignment w:val="auto"/>
        <w:outlineLvl w:val="0"/>
        <w:rPr>
          <w:rFonts w:hint="eastAsia" w:ascii="黑体" w:hAnsi="黑体" w:eastAsia="黑体"/>
          <w:sz w:val="32"/>
          <w:szCs w:val="32"/>
          <w:highlight w:val="none"/>
        </w:rPr>
      </w:pPr>
      <w:bookmarkStart w:id="6" w:name="_Toc29374"/>
      <w:bookmarkStart w:id="7" w:name="_Toc3092"/>
      <w:r>
        <w:rPr>
          <w:rFonts w:hint="default" w:ascii="黑体"/>
          <w:b/>
          <w:kern w:val="44"/>
          <w:sz w:val="28"/>
        </w:rPr>
        <w:br w:type="page"/>
      </w:r>
      <w:r>
        <w:rPr>
          <w:rFonts w:hint="default" w:ascii="黑体"/>
          <w:b/>
          <w:spacing w:val="40"/>
          <w:sz w:val="28"/>
        </w:rPr>
        <w:t xml:space="preserve"> </w:t>
      </w:r>
      <w:r>
        <w:rPr>
          <w:rFonts w:hint="eastAsia" w:ascii="黑体" w:hAnsi="黑体" w:eastAsia="黑体"/>
          <w:sz w:val="32"/>
          <w:szCs w:val="32"/>
          <w:highlight w:val="none"/>
        </w:rPr>
        <w:t>第二部分 部门决算情况说明</w:t>
      </w:r>
      <w:bookmarkEnd w:id="6"/>
      <w:bookmarkEnd w:id="7"/>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rPr>
      </w:pPr>
      <w:bookmarkStart w:id="8" w:name="_Toc25314"/>
      <w:bookmarkStart w:id="9" w:name="_Toc12566"/>
      <w:r>
        <w:rPr>
          <w:rFonts w:hint="eastAsia" w:ascii="黑体" w:hAnsi="黑体" w:eastAsia="黑体" w:cs="宋体"/>
          <w:kern w:val="0"/>
          <w:sz w:val="32"/>
          <w:szCs w:val="32"/>
          <w:highlight w:val="none"/>
        </w:rPr>
        <w:t>一、收入支出决算总体情况说明</w:t>
      </w:r>
      <w:bookmarkEnd w:id="8"/>
      <w:bookmarkEnd w:id="9"/>
    </w:p>
    <w:p>
      <w:pPr>
        <w:keepNext w:val="0"/>
        <w:keepLines w:val="0"/>
        <w:pageBreakBefore w:val="0"/>
        <w:widowControl w:val="0"/>
        <w:kinsoku/>
        <w:wordWrap/>
        <w:overflowPunct/>
        <w:topLinePunct w:val="0"/>
        <w:autoSpaceDE/>
        <w:autoSpaceDN/>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pacing w:val="0"/>
          <w:sz w:val="32"/>
          <w:szCs w:val="32"/>
          <w:highlight w:val="none"/>
        </w:rPr>
        <w:t>2022</w:t>
      </w:r>
      <w:r>
        <w:rPr>
          <w:rFonts w:hint="eastAsia" w:ascii="仿宋_GB2312" w:eastAsia="仿宋_GB2312"/>
          <w:spacing w:val="0"/>
          <w:sz w:val="32"/>
          <w:szCs w:val="32"/>
          <w:highlight w:val="none"/>
          <w:lang w:eastAsia="zh-CN"/>
        </w:rPr>
        <w:t>年度</w:t>
      </w:r>
      <w:r>
        <w:rPr>
          <w:rFonts w:hint="eastAsia" w:ascii="仿宋_GB2312" w:eastAsia="仿宋_GB2312"/>
          <w:sz w:val="32"/>
          <w:szCs w:val="32"/>
          <w:highlight w:val="none"/>
        </w:rPr>
        <w:t>收入总计64.72万元</w:t>
      </w:r>
      <w:r>
        <w:rPr>
          <w:rFonts w:hint="eastAsia" w:ascii="仿宋_GB2312" w:eastAsia="仿宋_GB2312"/>
          <w:sz w:val="32"/>
          <w:szCs w:val="32"/>
          <w:highlight w:val="none"/>
          <w:lang w:eastAsia="zh-CN"/>
        </w:rPr>
        <w:t>，其中：本年收入合计64.72万元，使用非财政拨款结余0.00万元，年初结转和结余0.00万元。</w:t>
      </w:r>
      <w:r>
        <w:rPr>
          <w:rFonts w:hint="eastAsia" w:ascii="仿宋_GB2312" w:eastAsia="仿宋_GB2312"/>
          <w:sz w:val="32"/>
          <w:szCs w:val="32"/>
          <w:highlight w:val="none"/>
        </w:rPr>
        <w:t>收入总计与上年相比</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增加2.49万元，增长4.00%</w:t>
      </w:r>
      <w:r>
        <w:rPr>
          <w:rFonts w:hint="eastAsia" w:ascii="仿宋_GB2312" w:eastAsia="仿宋_GB2312"/>
          <w:sz w:val="32"/>
          <w:szCs w:val="32"/>
          <w:highlight w:val="none"/>
          <w:lang w:eastAsia="zh-CN"/>
        </w:rPr>
        <w:t>，主要原因是</w:t>
      </w:r>
      <w:r>
        <w:rPr>
          <w:rFonts w:hint="eastAsia" w:ascii="仿宋_GB2312" w:eastAsia="仿宋_GB2312"/>
          <w:sz w:val="32"/>
          <w:szCs w:val="32"/>
          <w:highlight w:val="none"/>
        </w:rPr>
        <w:t>：本年度工资正常晋升，社保及住房公积金相应增加</w:t>
      </w:r>
      <w:r>
        <w:rPr>
          <w:rFonts w:hint="eastAsia" w:ascii="仿宋_GB2312" w:eastAsia="仿宋_GB2312"/>
          <w:sz w:val="32"/>
          <w:szCs w:val="32"/>
          <w:highlight w:val="none"/>
          <w:lang w:eastAsia="zh-CN"/>
        </w:rPr>
        <w:t>，收入增加</w:t>
      </w:r>
      <w:r>
        <w:rPr>
          <w:rFonts w:hint="eastAsia" w:ascii="仿宋_GB2312" w:eastAsia="仿宋_GB2312"/>
          <w:sz w:val="32"/>
          <w:szCs w:val="32"/>
          <w:highlight w:val="none"/>
        </w:rPr>
        <w:t>。</w:t>
      </w:r>
    </w:p>
    <w:p>
      <w:pPr>
        <w:keepNext w:val="0"/>
        <w:keepLines w:val="0"/>
        <w:pageBreakBefore w:val="0"/>
        <w:widowControl w:val="0"/>
        <w:kinsoku/>
        <w:wordWrap/>
        <w:overflowPunct/>
        <w:topLinePunct w:val="0"/>
        <w:autoSpaceDE/>
        <w:autoSpaceDN/>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pacing w:val="0"/>
          <w:sz w:val="32"/>
          <w:szCs w:val="32"/>
          <w:highlight w:val="none"/>
        </w:rPr>
        <w:t>本年支出总计64.72万元</w:t>
      </w:r>
      <w:r>
        <w:rPr>
          <w:rFonts w:hint="eastAsia" w:ascii="仿宋_GB2312" w:eastAsia="仿宋_GB2312"/>
          <w:sz w:val="32"/>
          <w:szCs w:val="32"/>
          <w:highlight w:val="none"/>
          <w:lang w:eastAsia="zh-CN"/>
        </w:rPr>
        <w:t>，其中：本年支出合计64.72万元，结余分配0.00万元，年末结转和结余0.00万元。</w:t>
      </w:r>
      <w:r>
        <w:rPr>
          <w:rFonts w:hint="eastAsia" w:ascii="仿宋_GB2312" w:eastAsia="仿宋_GB2312"/>
          <w:sz w:val="32"/>
          <w:szCs w:val="32"/>
          <w:highlight w:val="none"/>
        </w:rPr>
        <w:t>支出总计与上年相比</w:t>
      </w:r>
      <w:r>
        <w:rPr>
          <w:rFonts w:hint="eastAsia" w:ascii="仿宋_GB2312" w:eastAsia="仿宋_GB2312"/>
          <w:sz w:val="32"/>
          <w:szCs w:val="32"/>
          <w:highlight w:val="none"/>
          <w:lang w:eastAsia="zh-CN"/>
        </w:rPr>
        <w:t>，增加2.49万元，增长4.00%，主要原因是</w:t>
      </w:r>
      <w:r>
        <w:rPr>
          <w:rFonts w:hint="eastAsia" w:ascii="仿宋_GB2312" w:eastAsia="仿宋_GB2312"/>
          <w:sz w:val="32"/>
          <w:szCs w:val="32"/>
          <w:highlight w:val="none"/>
        </w:rPr>
        <w:t>：本年度工资正常晋升，社保及住房公积金相应增加</w:t>
      </w:r>
      <w:r>
        <w:rPr>
          <w:rFonts w:hint="eastAsia" w:ascii="仿宋_GB2312" w:eastAsia="仿宋_GB2312"/>
          <w:sz w:val="32"/>
          <w:szCs w:val="32"/>
          <w:highlight w:val="none"/>
          <w:lang w:eastAsia="zh-CN"/>
        </w:rPr>
        <w:t>，支出增加</w:t>
      </w:r>
      <w:r>
        <w:rPr>
          <w:rFonts w:hint="eastAsia" w:ascii="仿宋_GB2312" w:eastAsia="仿宋_GB2312"/>
          <w:sz w:val="32"/>
          <w:szCs w:val="32"/>
          <w:highlight w:val="none"/>
        </w:rPr>
        <w:t>。</w:t>
      </w:r>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rPr>
      </w:pPr>
      <w:bookmarkStart w:id="10" w:name="_Toc1979"/>
      <w:bookmarkStart w:id="11" w:name="_Toc12142"/>
      <w:r>
        <w:rPr>
          <w:rFonts w:hint="eastAsia" w:ascii="黑体" w:hAnsi="黑体" w:eastAsia="黑体" w:cs="宋体"/>
          <w:kern w:val="0"/>
          <w:sz w:val="32"/>
          <w:szCs w:val="32"/>
          <w:highlight w:val="none"/>
          <w:lang w:eastAsia="zh-CN"/>
        </w:rPr>
        <w:t>二、</w:t>
      </w:r>
      <w:r>
        <w:rPr>
          <w:rFonts w:hint="eastAsia" w:ascii="黑体" w:hAnsi="黑体" w:eastAsia="黑体" w:cs="宋体"/>
          <w:kern w:val="0"/>
          <w:sz w:val="32"/>
          <w:szCs w:val="32"/>
          <w:highlight w:val="none"/>
        </w:rPr>
        <w:t>收入</w:t>
      </w:r>
      <w:r>
        <w:rPr>
          <w:rFonts w:hint="eastAsia" w:ascii="黑体" w:hAnsi="黑体" w:eastAsia="黑体" w:cs="宋体"/>
          <w:kern w:val="0"/>
          <w:sz w:val="32"/>
          <w:szCs w:val="32"/>
          <w:highlight w:val="none"/>
          <w:lang w:eastAsia="zh-CN"/>
        </w:rPr>
        <w:t>决算</w:t>
      </w:r>
      <w:r>
        <w:rPr>
          <w:rFonts w:hint="eastAsia" w:ascii="黑体" w:hAnsi="黑体" w:eastAsia="黑体" w:cs="宋体"/>
          <w:kern w:val="0"/>
          <w:sz w:val="32"/>
          <w:szCs w:val="32"/>
          <w:highlight w:val="none"/>
        </w:rPr>
        <w:t>情况说明</w:t>
      </w:r>
      <w:bookmarkEnd w:id="10"/>
      <w:bookmarkEnd w:id="11"/>
    </w:p>
    <w:p>
      <w:pPr>
        <w:keepNext w:val="0"/>
        <w:keepLines w:val="0"/>
        <w:pageBreakBefore w:val="0"/>
        <w:widowControl w:val="0"/>
        <w:kinsoku/>
        <w:wordWrap/>
        <w:overflowPunct/>
        <w:topLinePunct w:val="0"/>
        <w:autoSpaceDE/>
        <w:autoSpaceDN/>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pacing w:val="0"/>
          <w:sz w:val="32"/>
          <w:szCs w:val="32"/>
          <w:highlight w:val="none"/>
        </w:rPr>
        <w:t>2022</w:t>
      </w:r>
      <w:r>
        <w:rPr>
          <w:rFonts w:hint="eastAsia" w:ascii="仿宋_GB2312" w:eastAsia="仿宋_GB2312"/>
          <w:spacing w:val="0"/>
          <w:sz w:val="32"/>
          <w:szCs w:val="32"/>
          <w:highlight w:val="none"/>
          <w:lang w:eastAsia="zh-CN"/>
        </w:rPr>
        <w:t>年度</w:t>
      </w:r>
      <w:r>
        <w:rPr>
          <w:rFonts w:hint="eastAsia" w:ascii="仿宋_GB2312" w:eastAsia="仿宋_GB2312"/>
          <w:sz w:val="32"/>
          <w:szCs w:val="32"/>
          <w:highlight w:val="none"/>
        </w:rPr>
        <w:t>本年收入64.72万元，其中：财政拨款收入64.72万元，占100.00%；上级补助收入0.00万元，占0.00%；事业收入0.00万元，占0.00%；经营收入0.00万元，占0.00%；附属单位上缴收入0.00万元，占0.00%；其他收入0.00万元，占0.00%。</w:t>
      </w:r>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lang w:eastAsia="zh-CN"/>
        </w:rPr>
      </w:pPr>
      <w:bookmarkStart w:id="12" w:name="_Toc27961"/>
      <w:bookmarkStart w:id="13" w:name="_Toc13201"/>
      <w:r>
        <w:rPr>
          <w:rFonts w:hint="eastAsia" w:ascii="黑体" w:hAnsi="黑体" w:eastAsia="黑体" w:cs="宋体"/>
          <w:kern w:val="0"/>
          <w:sz w:val="32"/>
          <w:szCs w:val="32"/>
          <w:highlight w:val="none"/>
          <w:lang w:eastAsia="zh-CN"/>
        </w:rPr>
        <w:t>三、支出决算情况说明</w:t>
      </w:r>
      <w:bookmarkEnd w:id="12"/>
      <w:bookmarkEnd w:id="13"/>
    </w:p>
    <w:p>
      <w:pPr>
        <w:keepNext w:val="0"/>
        <w:keepLines w:val="0"/>
        <w:pageBreakBefore w:val="0"/>
        <w:widowControl w:val="0"/>
        <w:kinsoku/>
        <w:wordWrap/>
        <w:overflowPunct/>
        <w:topLinePunct w:val="0"/>
        <w:autoSpaceDE/>
        <w:autoSpaceDN/>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pacing w:val="0"/>
          <w:sz w:val="32"/>
          <w:szCs w:val="32"/>
          <w:highlight w:val="none"/>
        </w:rPr>
        <w:t>2022</w:t>
      </w:r>
      <w:r>
        <w:rPr>
          <w:rFonts w:hint="eastAsia" w:ascii="仿宋_GB2312" w:eastAsia="仿宋_GB2312"/>
          <w:spacing w:val="0"/>
          <w:sz w:val="32"/>
          <w:szCs w:val="32"/>
          <w:highlight w:val="none"/>
          <w:lang w:eastAsia="zh-CN"/>
        </w:rPr>
        <w:t>年度</w:t>
      </w:r>
      <w:r>
        <w:rPr>
          <w:rFonts w:hint="eastAsia" w:ascii="仿宋_GB2312" w:eastAsia="仿宋_GB2312"/>
          <w:sz w:val="32"/>
          <w:szCs w:val="32"/>
          <w:highlight w:val="none"/>
        </w:rPr>
        <w:t>本年支出64.72万元，其中：基本支出64.72万元，占100.00%；项目支出0.00万元，占0.00%；上缴上级支出0.00万元，占0.00%；经营支出0.00万元，占0.00%；对附属单位补助支出0.00万元，占0.00%。</w:t>
      </w:r>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lang w:eastAsia="zh-CN"/>
        </w:rPr>
      </w:pPr>
      <w:bookmarkStart w:id="14" w:name="_Toc26564"/>
      <w:bookmarkStart w:id="15" w:name="_Toc4393"/>
      <w:r>
        <w:rPr>
          <w:rFonts w:hint="eastAsia" w:ascii="黑体" w:hAnsi="黑体" w:eastAsia="黑体" w:cs="宋体"/>
          <w:kern w:val="0"/>
          <w:sz w:val="32"/>
          <w:szCs w:val="32"/>
          <w:highlight w:val="none"/>
          <w:lang w:eastAsia="zh-CN"/>
        </w:rPr>
        <w:t>四、财政拨款收入支出决算总体情况说明</w:t>
      </w:r>
      <w:bookmarkEnd w:id="14"/>
      <w:bookmarkEnd w:id="15"/>
    </w:p>
    <w:p>
      <w:pPr>
        <w:keepNext w:val="0"/>
        <w:keepLines w:val="0"/>
        <w:pageBreakBefore w:val="0"/>
        <w:widowControl w:val="0"/>
        <w:kinsoku/>
        <w:wordWrap/>
        <w:overflowPunct/>
        <w:topLinePunct w:val="0"/>
        <w:autoSpaceDE/>
        <w:autoSpaceDN/>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pacing w:val="0"/>
          <w:sz w:val="32"/>
          <w:szCs w:val="32"/>
          <w:highlight w:val="none"/>
        </w:rPr>
        <w:t>2022</w:t>
      </w:r>
      <w:r>
        <w:rPr>
          <w:rFonts w:hint="eastAsia" w:ascii="仿宋_GB2312" w:eastAsia="仿宋_GB2312"/>
          <w:spacing w:val="0"/>
          <w:sz w:val="32"/>
          <w:szCs w:val="32"/>
          <w:highlight w:val="none"/>
          <w:lang w:eastAsia="zh-CN"/>
        </w:rPr>
        <w:t>年度</w:t>
      </w:r>
      <w:r>
        <w:rPr>
          <w:rFonts w:hint="eastAsia" w:ascii="仿宋_GB2312" w:eastAsia="仿宋_GB2312"/>
          <w:sz w:val="32"/>
          <w:szCs w:val="32"/>
          <w:highlight w:val="none"/>
        </w:rPr>
        <w:t>财政拨款收入总计64.72万元，其中：年初财政拨款结转和结余0.00万元，财政拨款本年收入64.72万元。财政拨款收入总计与上年相比，增加2.49万元，增长4.00%，</w:t>
      </w:r>
      <w:r>
        <w:rPr>
          <w:rFonts w:hint="eastAsia" w:ascii="仿宋_GB2312" w:eastAsia="仿宋_GB2312"/>
          <w:sz w:val="32"/>
          <w:szCs w:val="32"/>
          <w:highlight w:val="none"/>
          <w:lang w:eastAsia="zh-CN"/>
        </w:rPr>
        <w:t>主要原因是：</w:t>
      </w:r>
      <w:r>
        <w:rPr>
          <w:rFonts w:hint="eastAsia" w:ascii="仿宋_GB2312" w:eastAsia="仿宋_GB2312"/>
          <w:sz w:val="32"/>
          <w:szCs w:val="32"/>
          <w:highlight w:val="none"/>
        </w:rPr>
        <w:t>本年度工资正常晋升，社保及住房公积金相应增加</w:t>
      </w:r>
      <w:r>
        <w:rPr>
          <w:rFonts w:hint="eastAsia" w:ascii="仿宋_GB2312" w:eastAsia="仿宋_GB2312"/>
          <w:sz w:val="32"/>
          <w:szCs w:val="32"/>
          <w:highlight w:val="none"/>
          <w:lang w:eastAsia="zh-CN"/>
        </w:rPr>
        <w:t>，收入增加</w:t>
      </w:r>
      <w:r>
        <w:rPr>
          <w:rFonts w:hint="eastAsia" w:ascii="仿宋_GB2312" w:eastAsia="仿宋_GB2312"/>
          <w:sz w:val="32"/>
          <w:szCs w:val="32"/>
          <w:highlight w:val="none"/>
        </w:rPr>
        <w:t>。</w:t>
      </w:r>
    </w:p>
    <w:p>
      <w:pPr>
        <w:keepNext w:val="0"/>
        <w:keepLines w:val="0"/>
        <w:pageBreakBefore w:val="0"/>
        <w:widowControl w:val="0"/>
        <w:kinsoku/>
        <w:wordWrap/>
        <w:overflowPunct/>
        <w:topLinePunct w:val="0"/>
        <w:autoSpaceDE/>
        <w:autoSpaceDN/>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财政拨款支出总计64.72万元，其中：年末财政拨款结转和结余0.00万元，财政拨款本年支出64.72万元。财政拨款支出总计与上年相比，增加2.49万元，增长4.00%，</w:t>
      </w:r>
      <w:r>
        <w:rPr>
          <w:rFonts w:hint="eastAsia" w:ascii="仿宋_GB2312" w:eastAsia="仿宋_GB2312"/>
          <w:sz w:val="32"/>
          <w:szCs w:val="32"/>
          <w:highlight w:val="none"/>
          <w:lang w:eastAsia="zh-CN"/>
        </w:rPr>
        <w:t>主要原因是：</w:t>
      </w:r>
      <w:r>
        <w:rPr>
          <w:rFonts w:hint="eastAsia" w:ascii="仿宋_GB2312" w:eastAsia="仿宋_GB2312"/>
          <w:sz w:val="32"/>
          <w:szCs w:val="32"/>
          <w:highlight w:val="none"/>
        </w:rPr>
        <w:t>本年度工资正常晋升，社保及住房公积金相应增加</w:t>
      </w:r>
      <w:r>
        <w:rPr>
          <w:rFonts w:hint="eastAsia" w:ascii="仿宋_GB2312" w:eastAsia="仿宋_GB2312"/>
          <w:sz w:val="32"/>
          <w:szCs w:val="32"/>
          <w:highlight w:val="none"/>
          <w:lang w:eastAsia="zh-CN"/>
        </w:rPr>
        <w:t>，支出增加</w:t>
      </w:r>
      <w:r>
        <w:rPr>
          <w:rFonts w:hint="eastAsia" w:ascii="仿宋_GB2312" w:eastAsia="仿宋_GB2312"/>
          <w:sz w:val="32"/>
          <w:szCs w:val="32"/>
          <w:highlight w:val="none"/>
        </w:rPr>
        <w:t>。</w:t>
      </w:r>
    </w:p>
    <w:p>
      <w:pPr>
        <w:keepNext w:val="0"/>
        <w:keepLines w:val="0"/>
        <w:pageBreakBefore w:val="0"/>
        <w:widowControl w:val="0"/>
        <w:kinsoku/>
        <w:wordWrap/>
        <w:overflowPunct/>
        <w:topLinePunct w:val="0"/>
        <w:autoSpaceDE/>
        <w:autoSpaceDN/>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与年初预算数相比情况：财政拨款收入总计年初预算数57.20万元，决算数64.72万元，预决算差异率13.15%，</w:t>
      </w:r>
      <w:r>
        <w:rPr>
          <w:rFonts w:hint="eastAsia" w:ascii="仿宋_GB2312" w:eastAsia="仿宋_GB2312"/>
          <w:sz w:val="32"/>
          <w:szCs w:val="32"/>
          <w:highlight w:val="none"/>
          <w:lang w:eastAsia="zh-CN"/>
        </w:rPr>
        <w:t>主要原因是：</w:t>
      </w:r>
      <w:r>
        <w:rPr>
          <w:rFonts w:hint="eastAsia" w:ascii="仿宋_GB2312" w:eastAsia="仿宋_GB2312"/>
          <w:sz w:val="32"/>
          <w:szCs w:val="32"/>
          <w:highlight w:val="none"/>
        </w:rPr>
        <w:t>本年度人员工资调增，</w:t>
      </w:r>
      <w:r>
        <w:rPr>
          <w:rFonts w:hint="eastAsia" w:ascii="仿宋_GB2312" w:eastAsia="仿宋_GB2312"/>
          <w:sz w:val="32"/>
          <w:szCs w:val="32"/>
          <w:highlight w:val="none"/>
          <w:lang w:eastAsia="zh-CN"/>
        </w:rPr>
        <w:t>收入增加，</w:t>
      </w:r>
      <w:r>
        <w:rPr>
          <w:rFonts w:hint="eastAsia" w:ascii="仿宋_GB2312" w:eastAsia="仿宋_GB2312"/>
          <w:sz w:val="32"/>
          <w:szCs w:val="32"/>
          <w:highlight w:val="none"/>
        </w:rPr>
        <w:t>产生预决算差异。财政拨款支出总计年初预算数57.20万元，决算数64.72万元，预决算差异率13.15%，</w:t>
      </w:r>
      <w:r>
        <w:rPr>
          <w:rFonts w:hint="eastAsia" w:ascii="仿宋_GB2312" w:eastAsia="仿宋_GB2312"/>
          <w:sz w:val="32"/>
          <w:szCs w:val="32"/>
          <w:highlight w:val="none"/>
          <w:lang w:eastAsia="zh-CN"/>
        </w:rPr>
        <w:t>主要原因是：</w:t>
      </w:r>
      <w:r>
        <w:rPr>
          <w:rFonts w:hint="eastAsia" w:ascii="仿宋_GB2312" w:eastAsia="仿宋_GB2312"/>
          <w:sz w:val="32"/>
          <w:szCs w:val="32"/>
          <w:highlight w:val="none"/>
        </w:rPr>
        <w:t>本年度人员工资调增，</w:t>
      </w:r>
      <w:r>
        <w:rPr>
          <w:rFonts w:hint="eastAsia" w:ascii="仿宋_GB2312" w:eastAsia="仿宋_GB2312"/>
          <w:sz w:val="32"/>
          <w:szCs w:val="32"/>
          <w:highlight w:val="none"/>
          <w:lang w:eastAsia="zh-CN"/>
        </w:rPr>
        <w:t>支出增加，</w:t>
      </w:r>
      <w:r>
        <w:rPr>
          <w:rFonts w:hint="eastAsia" w:ascii="仿宋_GB2312" w:eastAsia="仿宋_GB2312"/>
          <w:sz w:val="32"/>
          <w:szCs w:val="32"/>
          <w:highlight w:val="none"/>
        </w:rPr>
        <w:t>产生预决算差异。</w:t>
      </w:r>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lang w:eastAsia="zh-CN"/>
        </w:rPr>
      </w:pPr>
      <w:bookmarkStart w:id="16" w:name="_Toc20360"/>
      <w:bookmarkStart w:id="17" w:name="_Toc13833"/>
      <w:r>
        <w:rPr>
          <w:rFonts w:hint="eastAsia" w:ascii="黑体" w:hAnsi="黑体" w:eastAsia="黑体" w:cs="宋体"/>
          <w:kern w:val="0"/>
          <w:sz w:val="32"/>
          <w:szCs w:val="32"/>
          <w:highlight w:val="none"/>
          <w:lang w:eastAsia="zh-CN"/>
        </w:rPr>
        <w:t>五、一般公共预算财政拨款支出决算情况说明</w:t>
      </w:r>
      <w:bookmarkEnd w:id="16"/>
      <w:bookmarkEnd w:id="17"/>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lang w:eastAsia="zh-CN"/>
        </w:rPr>
      </w:pPr>
      <w:r>
        <w:rPr>
          <w:rFonts w:hint="eastAsia" w:ascii="黑体" w:hAnsi="黑体" w:eastAsia="黑体" w:cs="宋体"/>
          <w:kern w:val="0"/>
          <w:sz w:val="32"/>
          <w:szCs w:val="32"/>
          <w:highlight w:val="none"/>
          <w:lang w:eastAsia="zh-CN"/>
        </w:rPr>
        <w:t>（一）一般公共预算财政拨款支出决算总体情况</w:t>
      </w:r>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pacing w:val="0"/>
          <w:sz w:val="32"/>
          <w:szCs w:val="32"/>
          <w:highlight w:val="none"/>
        </w:rPr>
        <w:t>2022</w:t>
      </w:r>
      <w:r>
        <w:rPr>
          <w:rFonts w:hint="eastAsia" w:ascii="仿宋_GB2312" w:eastAsia="仿宋_GB2312"/>
          <w:spacing w:val="0"/>
          <w:sz w:val="32"/>
          <w:szCs w:val="32"/>
          <w:highlight w:val="none"/>
          <w:lang w:eastAsia="zh-CN"/>
        </w:rPr>
        <w:t>年度</w:t>
      </w:r>
      <w:r>
        <w:rPr>
          <w:rFonts w:hint="eastAsia" w:ascii="仿宋_GB2312" w:eastAsia="仿宋_GB2312"/>
          <w:sz w:val="32"/>
          <w:szCs w:val="32"/>
          <w:highlight w:val="none"/>
        </w:rPr>
        <w:t>一般公共预算财政拨款支出64.72万元，占本年支出合计的100.00%，与上年相比，增加2.49万元，增长4.00%，主要原因是：本年度工资正常晋升，社保及住房公积金相应增加，人员类支付增加。</w:t>
      </w:r>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lang w:eastAsia="zh-CN"/>
        </w:rPr>
      </w:pPr>
      <w:r>
        <w:rPr>
          <w:rFonts w:hint="eastAsia" w:ascii="黑体" w:hAnsi="黑体" w:eastAsia="黑体" w:cs="宋体"/>
          <w:kern w:val="0"/>
          <w:sz w:val="32"/>
          <w:szCs w:val="32"/>
          <w:highlight w:val="none"/>
          <w:lang w:eastAsia="zh-CN"/>
        </w:rPr>
        <w:t>（二）一般公共预算财政拨款支出决算结构情况</w:t>
      </w:r>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lang w:val="en-US" w:eastAsia="zh-CN"/>
        </w:rPr>
        <w:t>1.社会保障和就业支出（类）5.28万元，占8.16%。</w:t>
      </w:r>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lang w:val="en-US" w:eastAsia="zh-CN"/>
        </w:rPr>
        <w:t>2.卫生健康支出（类）2.99万元，占4.62%。</w:t>
      </w:r>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lang w:val="en-US" w:eastAsia="zh-CN"/>
        </w:rPr>
        <w:t>3.自然资源海洋气象等支出（类）51.75万元，占79.96%。</w:t>
      </w:r>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lang w:val="en-US" w:eastAsia="zh-CN"/>
        </w:rPr>
        <w:t>4.住房保障支出（类）4.70万元，占7.27%。</w:t>
      </w:r>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lang w:eastAsia="zh-CN"/>
        </w:rPr>
      </w:pPr>
      <w:r>
        <w:rPr>
          <w:rFonts w:hint="eastAsia" w:ascii="黑体" w:hAnsi="黑体" w:eastAsia="黑体" w:cs="宋体"/>
          <w:kern w:val="0"/>
          <w:sz w:val="32"/>
          <w:szCs w:val="32"/>
          <w:highlight w:val="none"/>
          <w:lang w:eastAsia="zh-CN"/>
        </w:rPr>
        <w:t>（三）一般公共预算财政拨款支出决算具体情况</w:t>
      </w:r>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lang w:val="en-US" w:eastAsia="zh-CN"/>
        </w:rPr>
        <w:t>1.社会保障和就业支出（类）行政事业单位养老支出（款）机关事业单位基本养老保险缴费支出（项）：支出决算数为5.28万元，比上年决算减少1.05万元，下降16.59%，主要原因是：本年度机关事业单位养老保险缴费支出基数调整减少。</w:t>
      </w:r>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lang w:val="en-US" w:eastAsia="zh-CN"/>
        </w:rPr>
        <w:t>2.卫生健康支出（类）行政事业单位医疗（款）事业单位医疗（项）：支出决算数为2.72万元，比上年决算增加2.72万元，增长100%，主要原因是：</w:t>
      </w:r>
      <w:r>
        <w:rPr>
          <w:rFonts w:hint="eastAsia" w:ascii="仿宋_GB2312" w:eastAsia="仿宋_GB2312"/>
          <w:sz w:val="32"/>
          <w:szCs w:val="32"/>
          <w:highlight w:val="none"/>
        </w:rPr>
        <w:t>本年度事业单位机构改革，单位合并</w:t>
      </w:r>
      <w:r>
        <w:rPr>
          <w:rFonts w:hint="eastAsia" w:ascii="仿宋_GB2312" w:eastAsia="仿宋_GB2312"/>
          <w:sz w:val="32"/>
          <w:szCs w:val="32"/>
          <w:highlight w:val="none"/>
          <w:lang w:val="en-US" w:eastAsia="zh-CN"/>
        </w:rPr>
        <w:t>，事业单位医疗支出增加。</w:t>
      </w:r>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lang w:val="en-US" w:eastAsia="zh-CN"/>
        </w:rPr>
        <w:t>3.卫生健康支出（类）行政事业单位医疗（款）公务员医疗补助（项）：支出决算数为0.26万元，比上年决算增加0.02万元，增长8.33%，主要原因是：本年度人员工资调增，公务员医疗补助支出增加。</w:t>
      </w:r>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lang w:val="en-US" w:eastAsia="zh-CN"/>
        </w:rPr>
        <w:t>4.自然资源海洋气象等支出（类）自然资源事务（款）事业运行（项）：支出决算数为51.75万元，比上年决算增加51.75万元，增长100%，主要原因是：</w:t>
      </w:r>
      <w:r>
        <w:rPr>
          <w:rFonts w:hint="eastAsia" w:ascii="仿宋_GB2312" w:eastAsia="仿宋_GB2312"/>
          <w:sz w:val="32"/>
          <w:szCs w:val="32"/>
          <w:highlight w:val="none"/>
        </w:rPr>
        <w:t>本年度事业单位机构改革，单位合并</w:t>
      </w:r>
      <w:r>
        <w:rPr>
          <w:rFonts w:hint="eastAsia" w:ascii="仿宋_GB2312" w:eastAsia="仿宋_GB2312"/>
          <w:sz w:val="32"/>
          <w:szCs w:val="32"/>
          <w:highlight w:val="none"/>
          <w:lang w:val="en-US" w:eastAsia="zh-CN"/>
        </w:rPr>
        <w:t>，自然资源事务（款）事业运行支出增加。</w:t>
      </w:r>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lang w:val="en-US" w:eastAsia="zh-CN"/>
        </w:rPr>
      </w:pPr>
      <w:r>
        <w:rPr>
          <w:rFonts w:hint="eastAsia" w:ascii="仿宋_GB2312" w:eastAsia="仿宋_GB2312"/>
          <w:sz w:val="32"/>
          <w:szCs w:val="32"/>
          <w:highlight w:val="none"/>
          <w:lang w:val="en-US" w:eastAsia="zh-CN"/>
        </w:rPr>
        <w:t>5.住房保障支出（类）住房改革支出（款）住房公积金（项）：支出决算数为4.70万元，比上年决算增加0.15万元，增长3.30%，主要原因是：本年度人员工资调增，住房公积金相应增加。</w:t>
      </w:r>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lang w:val="en-US" w:eastAsia="zh-CN"/>
        </w:rPr>
      </w:pPr>
      <w:r>
        <w:rPr>
          <w:rFonts w:hint="eastAsia" w:ascii="仿宋_GB2312" w:eastAsia="仿宋_GB2312"/>
          <w:sz w:val="32"/>
          <w:szCs w:val="32"/>
          <w:highlight w:val="none"/>
          <w:lang w:val="en-US" w:eastAsia="zh-CN"/>
        </w:rPr>
        <w:t>6.卫生健康支出(类)行政事业单位医疗(款)行政单位医疗(项): 支出决算数为0.00万元，比上年决算减少3.60万元，下降100%,主要原因是：科目调整，本年无</w:t>
      </w:r>
      <w:bookmarkStart w:id="18" w:name="_Toc30870"/>
      <w:bookmarkStart w:id="19" w:name="_Toc11146"/>
      <w:r>
        <w:rPr>
          <w:rFonts w:hint="eastAsia" w:ascii="仿宋_GB2312" w:eastAsia="仿宋_GB2312"/>
          <w:sz w:val="32"/>
          <w:szCs w:val="32"/>
          <w:highlight w:val="none"/>
          <w:lang w:val="en-US" w:eastAsia="zh-CN"/>
        </w:rPr>
        <w:t>行政单位医疗支出。</w:t>
      </w:r>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lang w:val="en-US" w:eastAsia="zh-CN"/>
        </w:rPr>
      </w:pPr>
      <w:r>
        <w:rPr>
          <w:rFonts w:hint="eastAsia" w:ascii="仿宋_GB2312" w:eastAsia="仿宋_GB2312"/>
          <w:sz w:val="32"/>
          <w:szCs w:val="32"/>
          <w:highlight w:val="none"/>
          <w:lang w:val="en-US" w:eastAsia="zh-CN"/>
        </w:rPr>
        <w:t>7.自然资源海洋气象等支出(类)自然资源事务(款)行政运行(项): 支出决算数为0.00万元，比上年决算减少47.52万元，下降100%,主要原因是：科目调整，本年无行政运行科目支出。</w:t>
      </w:r>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黑体" w:hAnsi="黑体" w:eastAsia="黑体" w:cs="宋体"/>
          <w:kern w:val="0"/>
          <w:sz w:val="32"/>
          <w:szCs w:val="32"/>
          <w:highlight w:val="none"/>
          <w:lang w:eastAsia="zh-CN"/>
        </w:rPr>
      </w:pPr>
      <w:r>
        <w:rPr>
          <w:rFonts w:hint="eastAsia" w:ascii="黑体" w:hAnsi="黑体" w:eastAsia="黑体" w:cs="宋体"/>
          <w:kern w:val="0"/>
          <w:sz w:val="32"/>
          <w:szCs w:val="32"/>
          <w:highlight w:val="none"/>
          <w:lang w:eastAsia="zh-CN"/>
        </w:rPr>
        <w:t>六、一般公共预算财政拨款基本支出决算情况说明</w:t>
      </w:r>
      <w:bookmarkEnd w:id="18"/>
      <w:bookmarkEnd w:id="19"/>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2022年度一般公共预算财政拨款基本支出64.72万元，其中：</w:t>
      </w:r>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rPr>
        <w:t>人员经费62.77万元，包括：基本工资、津贴补贴、奖金、绩效工资、机关事业单位基本养老保险缴费、职工基本医疗保险缴费、公务员医疗补助缴费、其他社会保障缴费、住房公积金。</w:t>
      </w:r>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rPr>
        <w:t>公用经费1.95万元，包括：劳务费。</w:t>
      </w:r>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lang w:eastAsia="zh-CN"/>
        </w:rPr>
      </w:pPr>
      <w:bookmarkStart w:id="20" w:name="_Toc21518"/>
      <w:bookmarkStart w:id="21" w:name="_Toc7190"/>
      <w:r>
        <w:rPr>
          <w:rFonts w:hint="eastAsia" w:ascii="黑体" w:hAnsi="黑体" w:eastAsia="黑体" w:cs="宋体"/>
          <w:kern w:val="0"/>
          <w:sz w:val="32"/>
          <w:szCs w:val="32"/>
          <w:highlight w:val="none"/>
          <w:lang w:eastAsia="zh-CN"/>
        </w:rPr>
        <w:t>七</w:t>
      </w:r>
      <w:r>
        <w:rPr>
          <w:rFonts w:hint="eastAsia" w:ascii="黑体" w:hAnsi="黑体" w:eastAsia="黑体" w:cs="宋体"/>
          <w:kern w:val="0"/>
          <w:sz w:val="32"/>
          <w:szCs w:val="32"/>
          <w:highlight w:val="none"/>
        </w:rPr>
        <w:t>、</w:t>
      </w:r>
      <w:r>
        <w:rPr>
          <w:rFonts w:hint="eastAsia" w:ascii="黑体" w:hAnsi="黑体" w:eastAsia="黑体" w:cs="宋体"/>
          <w:kern w:val="0"/>
          <w:sz w:val="32"/>
          <w:szCs w:val="32"/>
          <w:highlight w:val="none"/>
          <w:lang w:eastAsia="zh-CN"/>
        </w:rPr>
        <w:t>财政拨款</w:t>
      </w:r>
      <w:r>
        <w:rPr>
          <w:rFonts w:hint="eastAsia" w:ascii="黑体" w:hAnsi="黑体" w:eastAsia="黑体" w:cs="宋体"/>
          <w:kern w:val="0"/>
          <w:sz w:val="32"/>
          <w:szCs w:val="32"/>
          <w:highlight w:val="none"/>
        </w:rPr>
        <w:t>“三公”经费支出</w:t>
      </w:r>
      <w:r>
        <w:rPr>
          <w:rFonts w:hint="eastAsia" w:ascii="黑体" w:hAnsi="黑体" w:eastAsia="黑体" w:cs="宋体"/>
          <w:kern w:val="0"/>
          <w:sz w:val="32"/>
          <w:szCs w:val="32"/>
          <w:highlight w:val="none"/>
          <w:lang w:eastAsia="zh-CN"/>
        </w:rPr>
        <w:t>决算</w:t>
      </w:r>
      <w:r>
        <w:rPr>
          <w:rFonts w:hint="eastAsia" w:ascii="黑体" w:hAnsi="黑体" w:eastAsia="黑体" w:cs="宋体"/>
          <w:kern w:val="0"/>
          <w:sz w:val="32"/>
          <w:szCs w:val="32"/>
          <w:highlight w:val="none"/>
        </w:rPr>
        <w:t>情况</w:t>
      </w:r>
      <w:r>
        <w:rPr>
          <w:rFonts w:hint="eastAsia" w:ascii="黑体" w:hAnsi="黑体" w:eastAsia="黑体" w:cs="宋体"/>
          <w:kern w:val="0"/>
          <w:sz w:val="32"/>
          <w:szCs w:val="32"/>
          <w:highlight w:val="none"/>
          <w:lang w:eastAsia="zh-CN"/>
        </w:rPr>
        <w:t>说明</w:t>
      </w:r>
      <w:bookmarkEnd w:id="20"/>
      <w:bookmarkEnd w:id="21"/>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pacing w:val="0"/>
          <w:sz w:val="32"/>
          <w:szCs w:val="32"/>
          <w:highlight w:val="none"/>
        </w:rPr>
        <w:t>2022</w:t>
      </w:r>
      <w:r>
        <w:rPr>
          <w:rFonts w:hint="eastAsia" w:ascii="仿宋_GB2312" w:eastAsia="仿宋_GB2312"/>
          <w:spacing w:val="0"/>
          <w:sz w:val="32"/>
          <w:szCs w:val="32"/>
          <w:highlight w:val="none"/>
          <w:lang w:eastAsia="zh-CN"/>
        </w:rPr>
        <w:t>年度</w:t>
      </w:r>
      <w:r>
        <w:rPr>
          <w:rFonts w:hint="eastAsia" w:ascii="仿宋_GB2312" w:eastAsia="仿宋_GB2312"/>
          <w:sz w:val="32"/>
          <w:szCs w:val="32"/>
          <w:highlight w:val="none"/>
        </w:rPr>
        <w:t>财政拨款“三公”经费支出决算0.00万元，比上年增加0.00万元，增长0.00%，主要原因是：我单位无财政拨款“三公”经费支出。其中：因公出国（境）费支出0.00万元，占0.00%，比上年增加0.00万元，增长0.00%，主要原因是：我单位无因公出国（境）费支出；公务用车购置及运行维护费支出0.00万元，占0.00%，比上年增加0.00万元，增长0.00%，主要原因是：我单位无公务用车购置及运行维护费支出；公务接待费支出0.00万元，占0.00%，比上年增加0.00万元，增长0.00%，主要原因是：我单位无公务接待费支出。具体情况如下：</w:t>
      </w:r>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因公出国（境）费支出0.00万元，开支内容包括我单位无因公出国（境）费支出。单位全年安排的因公出国（境）团组0个，因公出国（境）0人次。</w:t>
      </w:r>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公务用车购置及运行维护费0.00万元，其中：公务用车购置费0.00万元，公务用车运行维护费0.00万元。公务用车运行维护费开支内容包括我单位无公务用车运行维护费开支。公务用车购置数0辆，公务用车保有量0辆。</w:t>
      </w:r>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公务接待费0.00万元，开支内容包括我单位无公务接待费。单位全年安排的国内公务接待0批次，0人次。</w:t>
      </w:r>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与全年预算数相比情况：“三公”经费支出全年预算数0.00万元，决算数0.00万元，预决算差异率0.00%，主要原因是：我单位未安排</w:t>
      </w:r>
      <w:r>
        <w:rPr>
          <w:rFonts w:hint="eastAsia" w:ascii="仿宋_GB2312" w:eastAsia="仿宋_GB2312"/>
          <w:sz w:val="32"/>
          <w:szCs w:val="32"/>
          <w:highlight w:val="none"/>
          <w:lang w:val="en-US" w:eastAsia="zh-CN"/>
        </w:rPr>
        <w:t>财政拨款</w:t>
      </w:r>
      <w:r>
        <w:rPr>
          <w:rFonts w:hint="eastAsia" w:ascii="仿宋_GB2312" w:eastAsia="仿宋_GB2312"/>
          <w:sz w:val="32"/>
          <w:szCs w:val="32"/>
          <w:highlight w:val="none"/>
        </w:rPr>
        <w:t>“三公”经费支出，预决算无差异。</w:t>
      </w:r>
      <w:r>
        <w:rPr>
          <w:rFonts w:hint="eastAsia" w:ascii="仿宋_GB2312" w:eastAsia="仿宋_GB2312"/>
          <w:sz w:val="32"/>
          <w:szCs w:val="32"/>
          <w:highlight w:val="none"/>
          <w:lang w:eastAsia="zh-CN"/>
        </w:rPr>
        <w:t>其中：因公出国（境）费全年预算数0.00万元，决算数0.00万元，预决算差异率0.00%，主要原因是：我单位未安排因公出国（境）费支出，预决算无差异；</w:t>
      </w:r>
      <w:r>
        <w:rPr>
          <w:rFonts w:hint="eastAsia" w:ascii="仿宋_GB2312" w:eastAsia="仿宋_GB2312"/>
          <w:sz w:val="32"/>
          <w:szCs w:val="32"/>
          <w:highlight w:val="none"/>
        </w:rPr>
        <w:t>公务用车购置费全年预算数0.00万元，决算数0.00万元，预决算差异率0.00%，主要原因是：我单位未安排公务用车购置费</w:t>
      </w:r>
      <w:r>
        <w:rPr>
          <w:rFonts w:hint="eastAsia" w:ascii="仿宋_GB2312" w:eastAsia="仿宋_GB2312"/>
          <w:sz w:val="32"/>
          <w:szCs w:val="32"/>
          <w:highlight w:val="none"/>
          <w:lang w:eastAsia="zh-CN"/>
        </w:rPr>
        <w:t>支出</w:t>
      </w:r>
      <w:r>
        <w:rPr>
          <w:rFonts w:hint="eastAsia" w:ascii="仿宋_GB2312" w:eastAsia="仿宋_GB2312"/>
          <w:sz w:val="32"/>
          <w:szCs w:val="32"/>
          <w:highlight w:val="none"/>
        </w:rPr>
        <w:t>，预决算无差异；</w:t>
      </w:r>
      <w:r>
        <w:rPr>
          <w:rFonts w:hint="eastAsia" w:ascii="仿宋_GB2312" w:hAnsi="宋体" w:eastAsia="仿宋_GB2312" w:cs="宋体"/>
          <w:kern w:val="0"/>
          <w:sz w:val="32"/>
          <w:szCs w:val="32"/>
          <w:highlight w:val="none"/>
        </w:rPr>
        <w:t>公务用车运行费全年预算数0.00万元，决算数0.00万元，预决算差异率0.00%，主要原因是：我单位未安排公务用车运行费</w:t>
      </w:r>
      <w:r>
        <w:rPr>
          <w:rFonts w:hint="eastAsia" w:ascii="仿宋_GB2312" w:hAnsi="宋体" w:eastAsia="仿宋_GB2312" w:cs="宋体"/>
          <w:kern w:val="0"/>
          <w:sz w:val="32"/>
          <w:szCs w:val="32"/>
          <w:highlight w:val="none"/>
          <w:lang w:eastAsia="zh-CN"/>
        </w:rPr>
        <w:t>支出</w:t>
      </w:r>
      <w:r>
        <w:rPr>
          <w:rFonts w:hint="eastAsia" w:ascii="仿宋_GB2312" w:hAnsi="宋体" w:eastAsia="仿宋_GB2312" w:cs="宋体"/>
          <w:kern w:val="0"/>
          <w:sz w:val="32"/>
          <w:szCs w:val="32"/>
          <w:highlight w:val="none"/>
        </w:rPr>
        <w:t>，预决算无差异；</w:t>
      </w:r>
      <w:r>
        <w:rPr>
          <w:rFonts w:hint="eastAsia" w:ascii="仿宋_GB2312" w:eastAsia="仿宋_GB2312"/>
          <w:sz w:val="32"/>
          <w:szCs w:val="32"/>
          <w:highlight w:val="none"/>
        </w:rPr>
        <w:t>公务接待费全年预算数0.00万元，决算数0.00万元，预决算差异率0.00%，主要原因是：我单位未安排公务接待费</w:t>
      </w:r>
      <w:r>
        <w:rPr>
          <w:rFonts w:hint="eastAsia" w:ascii="仿宋_GB2312" w:eastAsia="仿宋_GB2312"/>
          <w:sz w:val="32"/>
          <w:szCs w:val="32"/>
          <w:highlight w:val="none"/>
          <w:lang w:eastAsia="zh-CN"/>
        </w:rPr>
        <w:t>支出</w:t>
      </w:r>
      <w:r>
        <w:rPr>
          <w:rFonts w:hint="eastAsia" w:ascii="仿宋_GB2312" w:eastAsia="仿宋_GB2312"/>
          <w:sz w:val="32"/>
          <w:szCs w:val="32"/>
          <w:highlight w:val="none"/>
        </w:rPr>
        <w:t>，预决算无差异。</w:t>
      </w:r>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lang w:eastAsia="zh-CN"/>
        </w:rPr>
      </w:pPr>
      <w:bookmarkStart w:id="22" w:name="_Toc5810"/>
      <w:bookmarkStart w:id="23" w:name="_Toc7927"/>
      <w:r>
        <w:rPr>
          <w:rFonts w:hint="eastAsia" w:ascii="黑体" w:hAnsi="黑体" w:eastAsia="黑体" w:cs="宋体"/>
          <w:kern w:val="0"/>
          <w:sz w:val="32"/>
          <w:szCs w:val="32"/>
          <w:highlight w:val="none"/>
          <w:lang w:eastAsia="zh-CN"/>
        </w:rPr>
        <w:t>八、政府性基金预算财政拨款收入支出决算情况说明</w:t>
      </w:r>
      <w:bookmarkEnd w:id="22"/>
      <w:bookmarkEnd w:id="23"/>
    </w:p>
    <w:p>
      <w:pPr>
        <w:keepNext w:val="0"/>
        <w:keepLines w:val="0"/>
        <w:pageBreakBefore w:val="0"/>
        <w:widowControl w:val="0"/>
        <w:kinsoku/>
        <w:wordWrap/>
        <w:overflowPunct/>
        <w:topLinePunct w:val="0"/>
        <w:autoSpaceDE/>
        <w:autoSpaceDN/>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lang w:eastAsia="zh-CN"/>
        </w:rPr>
        <w:t>我单位本年度无政府性基金预算财政拨款收入、支出及结转和结余，</w:t>
      </w:r>
      <w:r>
        <w:rPr>
          <w:rFonts w:hint="eastAsia" w:ascii="仿宋_GB2312" w:eastAsia="仿宋_GB2312"/>
          <w:sz w:val="32"/>
          <w:szCs w:val="32"/>
          <w:highlight w:val="none"/>
        </w:rPr>
        <w:t>政府性基金预算财政拨款收入支出决算表为空表。</w:t>
      </w:r>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lang w:eastAsia="zh-CN"/>
        </w:rPr>
      </w:pPr>
      <w:r>
        <w:rPr>
          <w:rFonts w:hint="eastAsia" w:ascii="黑体" w:hAnsi="黑体" w:eastAsia="黑体" w:cs="宋体"/>
          <w:kern w:val="0"/>
          <w:sz w:val="32"/>
          <w:szCs w:val="32"/>
          <w:highlight w:val="none"/>
          <w:lang w:eastAsia="zh-CN"/>
        </w:rPr>
        <w:t>九、国有资本经营预算财政拨款收入支出决算情况说明</w:t>
      </w:r>
    </w:p>
    <w:p>
      <w:pPr>
        <w:keepNext w:val="0"/>
        <w:keepLines w:val="0"/>
        <w:pageBreakBefore w:val="0"/>
        <w:widowControl w:val="0"/>
        <w:kinsoku/>
        <w:wordWrap/>
        <w:overflowPunct/>
        <w:topLinePunct w:val="0"/>
        <w:autoSpaceDE/>
        <w:autoSpaceDN/>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lang w:eastAsia="zh-CN"/>
        </w:rPr>
        <w:t>我单位本年度无国有资本经营预算财政拨款收入、支出及结转和结余，</w:t>
      </w:r>
      <w:r>
        <w:rPr>
          <w:rFonts w:hint="eastAsia" w:ascii="仿宋_GB2312" w:eastAsia="仿宋_GB2312"/>
          <w:sz w:val="32"/>
          <w:szCs w:val="32"/>
          <w:highlight w:val="none"/>
        </w:rPr>
        <w:t>国有资本经营预算财政拨款收入支出决算表为空表。</w:t>
      </w:r>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lang w:eastAsia="zh-CN"/>
        </w:rPr>
      </w:pPr>
      <w:bookmarkStart w:id="24" w:name="_Toc7314"/>
      <w:bookmarkStart w:id="25" w:name="_Toc1235"/>
      <w:r>
        <w:rPr>
          <w:rFonts w:hint="eastAsia" w:ascii="黑体" w:hAnsi="黑体" w:eastAsia="黑体" w:cs="宋体"/>
          <w:kern w:val="0"/>
          <w:sz w:val="32"/>
          <w:szCs w:val="32"/>
          <w:highlight w:val="none"/>
          <w:lang w:eastAsia="zh-CN"/>
        </w:rPr>
        <w:t>十</w:t>
      </w:r>
      <w:r>
        <w:rPr>
          <w:rFonts w:hint="eastAsia" w:ascii="黑体" w:hAnsi="黑体" w:eastAsia="黑体" w:cs="宋体"/>
          <w:kern w:val="0"/>
          <w:sz w:val="32"/>
          <w:szCs w:val="32"/>
          <w:highlight w:val="none"/>
        </w:rPr>
        <w:t>、其他重要事项的情况</w:t>
      </w:r>
      <w:r>
        <w:rPr>
          <w:rFonts w:hint="eastAsia" w:ascii="黑体" w:hAnsi="黑体" w:eastAsia="黑体" w:cs="宋体"/>
          <w:kern w:val="0"/>
          <w:sz w:val="32"/>
          <w:szCs w:val="32"/>
          <w:highlight w:val="none"/>
          <w:lang w:eastAsia="zh-CN"/>
        </w:rPr>
        <w:t>说明</w:t>
      </w:r>
      <w:bookmarkEnd w:id="24"/>
      <w:bookmarkEnd w:id="25"/>
    </w:p>
    <w:p>
      <w:pPr>
        <w:keepNext w:val="0"/>
        <w:keepLines w:val="0"/>
        <w:pageBreakBefore w:val="0"/>
        <w:widowControl w:val="0"/>
        <w:kinsoku/>
        <w:wordWrap/>
        <w:overflowPunct/>
        <w:topLinePunct w:val="0"/>
        <w:autoSpaceDE/>
        <w:autoSpaceDN/>
        <w:adjustRightInd/>
        <w:snapToGrid/>
        <w:spacing w:line="240" w:lineRule="auto"/>
        <w:ind w:firstLine="640" w:firstLineChars="200"/>
        <w:textAlignment w:val="auto"/>
        <w:outlineLvl w:val="2"/>
        <w:rPr>
          <w:rFonts w:hint="eastAsia" w:ascii="黑体" w:hAnsi="黑体" w:eastAsia="黑体"/>
          <w:sz w:val="32"/>
          <w:szCs w:val="32"/>
          <w:highlight w:val="none"/>
        </w:rPr>
      </w:pPr>
      <w:bookmarkStart w:id="26" w:name="_Toc14519"/>
      <w:bookmarkStart w:id="27" w:name="_Toc13105"/>
      <w:r>
        <w:rPr>
          <w:rFonts w:hint="eastAsia" w:ascii="黑体" w:hAnsi="黑体" w:eastAsia="黑体"/>
          <w:sz w:val="32"/>
          <w:szCs w:val="32"/>
          <w:highlight w:val="none"/>
          <w:lang w:eastAsia="zh-CN"/>
        </w:rPr>
        <w:t>（一）</w:t>
      </w:r>
      <w:r>
        <w:rPr>
          <w:rFonts w:hint="eastAsia" w:ascii="黑体" w:hAnsi="黑体" w:eastAsia="黑体"/>
          <w:sz w:val="32"/>
          <w:szCs w:val="32"/>
          <w:highlight w:val="none"/>
        </w:rPr>
        <w:t>机关运行经费支出情况</w:t>
      </w:r>
      <w:bookmarkEnd w:id="26"/>
      <w:bookmarkEnd w:id="27"/>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rPr>
        <w:t>2022年度新疆塔城地区额敏县阔什比克良种场村镇规划建设发展中心（行政单位和参照公务员法管理事业单位）机关运行经费支出1.95万元，比上年增加1.95万元，增长100%，主要原因是：本年度事业单位机构改革，单位合并公用经费支出增加</w:t>
      </w:r>
      <w:r>
        <w:rPr>
          <w:rFonts w:hint="eastAsia" w:ascii="仿宋_GB2312" w:eastAsia="仿宋_GB2312"/>
          <w:sz w:val="32"/>
          <w:szCs w:val="32"/>
          <w:highlight w:val="none"/>
          <w:lang w:eastAsia="zh-CN"/>
        </w:rPr>
        <w:t>。</w:t>
      </w:r>
    </w:p>
    <w:p>
      <w:pPr>
        <w:keepNext w:val="0"/>
        <w:keepLines w:val="0"/>
        <w:pageBreakBefore w:val="0"/>
        <w:widowControl w:val="0"/>
        <w:kinsoku/>
        <w:wordWrap/>
        <w:overflowPunct/>
        <w:topLinePunct w:val="0"/>
        <w:autoSpaceDE/>
        <w:autoSpaceDN/>
        <w:adjustRightInd/>
        <w:snapToGrid/>
        <w:spacing w:line="240" w:lineRule="auto"/>
        <w:ind w:firstLine="640" w:firstLineChars="200"/>
        <w:textAlignment w:val="auto"/>
        <w:outlineLvl w:val="2"/>
        <w:rPr>
          <w:rFonts w:hint="eastAsia" w:ascii="黑体" w:hAnsi="黑体" w:eastAsia="黑体"/>
          <w:sz w:val="32"/>
          <w:szCs w:val="32"/>
          <w:highlight w:val="none"/>
          <w:lang w:eastAsia="zh-CN"/>
        </w:rPr>
      </w:pPr>
      <w:bookmarkStart w:id="28" w:name="_Toc26704"/>
      <w:bookmarkStart w:id="29" w:name="_Toc227"/>
      <w:r>
        <w:rPr>
          <w:rFonts w:hint="eastAsia" w:ascii="黑体" w:hAnsi="黑体" w:eastAsia="黑体"/>
          <w:sz w:val="32"/>
          <w:szCs w:val="32"/>
          <w:highlight w:val="none"/>
          <w:lang w:eastAsia="zh-CN"/>
        </w:rPr>
        <w:t>（二）政府采购情况</w:t>
      </w:r>
      <w:bookmarkEnd w:id="28"/>
      <w:bookmarkEnd w:id="29"/>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pacing w:val="0"/>
          <w:sz w:val="32"/>
          <w:szCs w:val="32"/>
          <w:highlight w:val="none"/>
        </w:rPr>
        <w:t>2022年度政府采购支出总额1.95万元，其中：政府采购货物支出1.95万元、政府采购工程支出0.00万元、政府采购服务支出0.00万元。</w:t>
      </w:r>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lang w:val="en-US" w:eastAsia="zh-CN"/>
        </w:rPr>
      </w:pPr>
      <w:r>
        <w:rPr>
          <w:rFonts w:hint="eastAsia" w:ascii="仿宋_GB2312" w:eastAsia="仿宋_GB2312"/>
          <w:sz w:val="32"/>
          <w:szCs w:val="32"/>
          <w:highlight w:val="none"/>
        </w:rPr>
        <w:t>授予中小企业合同金额</w:t>
      </w:r>
      <w:r>
        <w:rPr>
          <w:rFonts w:hint="eastAsia" w:ascii="仿宋_GB2312" w:eastAsia="仿宋_GB2312"/>
          <w:sz w:val="32"/>
          <w:szCs w:val="32"/>
          <w:highlight w:val="none"/>
          <w:lang w:eastAsia="zh-CN"/>
        </w:rPr>
        <w:t>1.95</w:t>
      </w:r>
      <w:r>
        <w:rPr>
          <w:rFonts w:hint="eastAsia" w:ascii="仿宋_GB2312" w:eastAsia="仿宋_GB2312"/>
          <w:sz w:val="32"/>
          <w:szCs w:val="32"/>
          <w:highlight w:val="none"/>
        </w:rPr>
        <w:t>万元，占政府采购支出总额的</w:t>
      </w:r>
      <w:r>
        <w:rPr>
          <w:rFonts w:hint="eastAsia" w:ascii="仿宋_GB2312" w:eastAsia="仿宋_GB2312"/>
          <w:sz w:val="32"/>
          <w:szCs w:val="32"/>
          <w:highlight w:val="none"/>
          <w:lang w:eastAsia="zh-CN"/>
        </w:rPr>
        <w:t>100.00</w:t>
      </w:r>
      <w:r>
        <w:rPr>
          <w:rFonts w:hint="eastAsia" w:ascii="仿宋_GB2312" w:eastAsia="仿宋_GB2312"/>
          <w:sz w:val="32"/>
          <w:szCs w:val="32"/>
          <w:highlight w:val="none"/>
          <w:lang w:val="en-US" w:eastAsia="zh-CN"/>
        </w:rPr>
        <w:t>%</w:t>
      </w:r>
      <w:r>
        <w:rPr>
          <w:rFonts w:hint="eastAsia" w:ascii="仿宋_GB2312" w:eastAsia="仿宋_GB2312"/>
          <w:sz w:val="32"/>
          <w:szCs w:val="32"/>
          <w:highlight w:val="none"/>
        </w:rPr>
        <w:t>，其中：授予小微企业合同金额</w:t>
      </w:r>
      <w:r>
        <w:rPr>
          <w:rFonts w:hint="eastAsia" w:ascii="仿宋_GB2312" w:eastAsia="仿宋_GB2312"/>
          <w:sz w:val="32"/>
          <w:szCs w:val="32"/>
          <w:highlight w:val="none"/>
          <w:lang w:eastAsia="zh-CN"/>
        </w:rPr>
        <w:t>1.95</w:t>
      </w:r>
      <w:r>
        <w:rPr>
          <w:rFonts w:hint="eastAsia" w:ascii="仿宋_GB2312" w:eastAsia="仿宋_GB2312"/>
          <w:sz w:val="32"/>
          <w:szCs w:val="32"/>
          <w:highlight w:val="none"/>
        </w:rPr>
        <w:t>万元，占政府采购支出总额的</w:t>
      </w:r>
      <w:r>
        <w:rPr>
          <w:rFonts w:hint="eastAsia" w:ascii="仿宋_GB2312" w:eastAsia="仿宋_GB2312"/>
          <w:sz w:val="32"/>
          <w:szCs w:val="32"/>
          <w:highlight w:val="none"/>
          <w:lang w:eastAsia="zh-CN"/>
        </w:rPr>
        <w:t>100.00</w:t>
      </w:r>
      <w:r>
        <w:rPr>
          <w:rFonts w:hint="eastAsia" w:ascii="仿宋_GB2312" w:eastAsia="仿宋_GB2312"/>
          <w:sz w:val="32"/>
          <w:szCs w:val="32"/>
          <w:highlight w:val="none"/>
          <w:lang w:val="en-US" w:eastAsia="zh-CN"/>
        </w:rPr>
        <w:t>%。</w:t>
      </w:r>
    </w:p>
    <w:p>
      <w:pPr>
        <w:keepNext w:val="0"/>
        <w:keepLines w:val="0"/>
        <w:pageBreakBefore w:val="0"/>
        <w:widowControl w:val="0"/>
        <w:kinsoku/>
        <w:wordWrap/>
        <w:overflowPunct/>
        <w:topLinePunct w:val="0"/>
        <w:autoSpaceDE/>
        <w:autoSpaceDN/>
        <w:adjustRightInd/>
        <w:snapToGrid/>
        <w:spacing w:line="240" w:lineRule="auto"/>
        <w:ind w:firstLine="640" w:firstLineChars="200"/>
        <w:textAlignment w:val="auto"/>
        <w:outlineLvl w:val="2"/>
        <w:rPr>
          <w:rFonts w:hint="eastAsia" w:ascii="黑体" w:hAnsi="黑体" w:eastAsia="黑体"/>
          <w:sz w:val="32"/>
          <w:szCs w:val="32"/>
          <w:highlight w:val="none"/>
          <w:lang w:eastAsia="zh-CN"/>
        </w:rPr>
      </w:pPr>
      <w:bookmarkStart w:id="30" w:name="_Toc8391"/>
      <w:bookmarkStart w:id="31" w:name="_Toc4591"/>
      <w:r>
        <w:rPr>
          <w:rFonts w:hint="eastAsia" w:ascii="黑体" w:hAnsi="黑体" w:eastAsia="黑体"/>
          <w:sz w:val="32"/>
          <w:szCs w:val="32"/>
          <w:highlight w:val="none"/>
          <w:lang w:eastAsia="zh-CN"/>
        </w:rPr>
        <w:t>（三）国有资产占用情况说明</w:t>
      </w:r>
      <w:bookmarkEnd w:id="30"/>
      <w:bookmarkEnd w:id="31"/>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lang w:eastAsia="zh-CN"/>
        </w:rPr>
        <w:t>截止2022年12月31日，固定资产原值0.00万元，房屋0.00平方米，价值0.00万元。车辆0辆，价值0.00万元，其中：副部（省）级及以上领导用车0辆、主要领导干部用车0辆、机要通信用车0辆、应急保障用车0辆、执法执勤用车0辆、特种专业技术用车0辆、离退休干部用车0辆、其他用车0辆，其他用车主要是：我单位无其他用车；单价100万元（含）以上设备（不含车辆）0台（套）。</w:t>
      </w:r>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lang w:eastAsia="zh-CN"/>
        </w:rPr>
      </w:pPr>
      <w:bookmarkStart w:id="32" w:name="_Toc11283"/>
      <w:bookmarkStart w:id="33" w:name="_Toc435"/>
      <w:r>
        <w:rPr>
          <w:rFonts w:hint="eastAsia" w:ascii="黑体" w:hAnsi="黑体" w:eastAsia="黑体" w:cs="宋体"/>
          <w:kern w:val="0"/>
          <w:sz w:val="32"/>
          <w:szCs w:val="32"/>
          <w:highlight w:val="none"/>
          <w:lang w:eastAsia="zh-CN"/>
        </w:rPr>
        <w:t>十一、预算绩效的情况说明</w:t>
      </w:r>
      <w:bookmarkEnd w:id="32"/>
      <w:bookmarkEnd w:id="33"/>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lang w:eastAsia="zh-CN"/>
        </w:rPr>
        <w:t>根据预算绩效管理要求，我单位2022年度开展预算绩效评价项目0个，全年预算数0.00万元，全年执行数0.00万元。预算绩效管理取得的成效：我单位无预算绩效评价项目。发现的问题及原因：我单位无预算绩效评价项目。下一步改进措施：我单位无预算绩效评价项目</w:t>
      </w:r>
      <w:bookmarkStart w:id="54" w:name="_GoBack"/>
      <w:bookmarkEnd w:id="54"/>
      <w:r>
        <w:rPr>
          <w:rFonts w:hint="eastAsia" w:ascii="仿宋_GB2312" w:eastAsia="仿宋_GB2312"/>
          <w:sz w:val="32"/>
          <w:szCs w:val="32"/>
          <w:highlight w:val="none"/>
          <w:lang w:eastAsia="zh-CN"/>
        </w:rPr>
        <w:t>。</w:t>
      </w:r>
    </w:p>
    <w:p>
      <w:pPr>
        <w:keepNext w:val="0"/>
        <w:keepLines w:val="0"/>
        <w:pageBreakBefore w:val="0"/>
        <w:widowControl w:val="0"/>
        <w:kinsoku/>
        <w:wordWrap/>
        <w:overflowPunct/>
        <w:topLinePunct w:val="0"/>
        <w:autoSpaceDE/>
        <w:autoSpaceDN/>
        <w:adjustRightInd/>
        <w:snapToGrid/>
        <w:spacing w:line="240" w:lineRule="auto"/>
        <w:ind w:firstLine="562" w:firstLineChars="200"/>
        <w:jc w:val="center"/>
        <w:textAlignment w:val="auto"/>
        <w:outlineLvl w:val="0"/>
        <w:rPr>
          <w:rFonts w:hint="eastAsia" w:ascii="黑体" w:hAnsi="黑体" w:eastAsia="黑体"/>
          <w:sz w:val="32"/>
          <w:szCs w:val="32"/>
          <w:highlight w:val="none"/>
        </w:rPr>
      </w:pPr>
      <w:bookmarkStart w:id="34" w:name="_Toc3250"/>
      <w:bookmarkStart w:id="35" w:name="_Toc24143"/>
      <w:r>
        <w:rPr>
          <w:rFonts w:hint="default" w:ascii="黑体"/>
          <w:b/>
          <w:kern w:val="44"/>
          <w:sz w:val="28"/>
        </w:rPr>
        <w:br w:type="page"/>
      </w:r>
      <w:r>
        <w:rPr>
          <w:rFonts w:hint="default" w:ascii="黑体"/>
          <w:b/>
          <w:spacing w:val="40"/>
          <w:sz w:val="28"/>
        </w:rPr>
        <w:t xml:space="preserve"> </w:t>
      </w:r>
      <w:r>
        <w:rPr>
          <w:rFonts w:hint="eastAsia" w:ascii="黑体" w:hAnsi="黑体" w:eastAsia="黑体"/>
          <w:sz w:val="32"/>
          <w:szCs w:val="32"/>
          <w:highlight w:val="none"/>
        </w:rPr>
        <w:t>第三部分 专业名词解释</w:t>
      </w:r>
      <w:bookmarkEnd w:id="34"/>
      <w:bookmarkEnd w:id="35"/>
    </w:p>
    <w:p>
      <w:pPr>
        <w:keepNext w:val="0"/>
        <w:keepLines w:val="0"/>
        <w:pageBreakBefore w:val="0"/>
        <w:widowControl w:val="0"/>
        <w:kinsoku/>
        <w:wordWrap/>
        <w:overflowPunct/>
        <w:topLinePunct w:val="0"/>
        <w:autoSpaceDE w:val="0"/>
        <w:autoSpaceDN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财政拨款收入：指同级财政当年拨付的资金。</w:t>
      </w:r>
    </w:p>
    <w:p>
      <w:pPr>
        <w:keepNext w:val="0"/>
        <w:keepLines w:val="0"/>
        <w:pageBreakBefore w:val="0"/>
        <w:widowControl w:val="0"/>
        <w:kinsoku/>
        <w:wordWrap/>
        <w:overflowPunct/>
        <w:topLinePunct w:val="0"/>
        <w:autoSpaceDE w:val="0"/>
        <w:autoSpaceDN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上级补助收入：指事业单位从主管部门和上级单位取得的非财政补助收入。</w:t>
      </w:r>
    </w:p>
    <w:p>
      <w:pPr>
        <w:keepNext w:val="0"/>
        <w:keepLines w:val="0"/>
        <w:pageBreakBefore w:val="0"/>
        <w:widowControl w:val="0"/>
        <w:kinsoku/>
        <w:wordWrap/>
        <w:overflowPunct/>
        <w:topLinePunct w:val="0"/>
        <w:autoSpaceDE w:val="0"/>
        <w:autoSpaceDN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事业收入：指事业单位开展专业业务活动及其辅助活动所取得的收入。</w:t>
      </w:r>
    </w:p>
    <w:p>
      <w:pPr>
        <w:keepNext w:val="0"/>
        <w:keepLines w:val="0"/>
        <w:pageBreakBefore w:val="0"/>
        <w:widowControl w:val="0"/>
        <w:kinsoku/>
        <w:wordWrap/>
        <w:overflowPunct/>
        <w:topLinePunct w:val="0"/>
        <w:autoSpaceDE w:val="0"/>
        <w:autoSpaceDN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经营收入：指事业单位在专业业务活动及其辅助活动之外开展非独立核算经营活动取得的收入。</w:t>
      </w:r>
    </w:p>
    <w:p>
      <w:pPr>
        <w:keepNext w:val="0"/>
        <w:keepLines w:val="0"/>
        <w:pageBreakBefore w:val="0"/>
        <w:widowControl w:val="0"/>
        <w:kinsoku/>
        <w:wordWrap/>
        <w:overflowPunct/>
        <w:topLinePunct w:val="0"/>
        <w:autoSpaceDE w:val="0"/>
        <w:autoSpaceDN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附属单位上缴收入：指事业单位附属的独立核算单位按有关规定上缴的收入。</w:t>
      </w:r>
    </w:p>
    <w:p>
      <w:pPr>
        <w:keepNext w:val="0"/>
        <w:keepLines w:val="0"/>
        <w:pageBreakBefore w:val="0"/>
        <w:widowControl w:val="0"/>
        <w:kinsoku/>
        <w:wordWrap/>
        <w:overflowPunct/>
        <w:topLinePunct w:val="0"/>
        <w:autoSpaceDE w:val="0"/>
        <w:autoSpaceDN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其他收入：指除上述“财政拨款收入”、“事业收入”、“经营收入”、“附属单位上缴收入”等之外取得的收入。</w:t>
      </w:r>
    </w:p>
    <w:p>
      <w:pPr>
        <w:keepNext w:val="0"/>
        <w:keepLines w:val="0"/>
        <w:pageBreakBefore w:val="0"/>
        <w:widowControl w:val="0"/>
        <w:kinsoku/>
        <w:wordWrap/>
        <w:overflowPunct/>
        <w:topLinePunct w:val="0"/>
        <w:autoSpaceDE w:val="0"/>
        <w:autoSpaceDN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lang w:eastAsia="zh-CN"/>
        </w:rPr>
        <w:t>年初</w:t>
      </w:r>
      <w:r>
        <w:rPr>
          <w:rFonts w:hint="eastAsia" w:ascii="仿宋_GB2312" w:eastAsia="仿宋_GB2312"/>
          <w:sz w:val="32"/>
          <w:szCs w:val="32"/>
          <w:highlight w:val="none"/>
        </w:rPr>
        <w:t>结转和结余：指以前年度支出预算因客观条件变化未执行完毕、结转到本年度按有关规定继续使用的资金，既包括财政拨款结转和结余，也包括事业收入、经营收入、其他收入的结转和结余。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基本支出：指为保障机构正常运转、完成日常工作任务而发生的人员支出和公用支出。</w:t>
      </w:r>
    </w:p>
    <w:p>
      <w:pPr>
        <w:keepNext w:val="0"/>
        <w:keepLines w:val="0"/>
        <w:pageBreakBefore w:val="0"/>
        <w:widowControl w:val="0"/>
        <w:kinsoku/>
        <w:wordWrap/>
        <w:overflowPunct/>
        <w:topLinePunct w:val="0"/>
        <w:autoSpaceDE w:val="0"/>
        <w:autoSpaceDN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项目支出：指在基本支出之外为完成特定行政任务和事业发展目标所发生的支出。</w:t>
      </w:r>
    </w:p>
    <w:p>
      <w:pPr>
        <w:keepNext w:val="0"/>
        <w:keepLines w:val="0"/>
        <w:pageBreakBefore w:val="0"/>
        <w:widowControl w:val="0"/>
        <w:kinsoku/>
        <w:wordWrap/>
        <w:overflowPunct/>
        <w:topLinePunct w:val="0"/>
        <w:autoSpaceDE w:val="0"/>
        <w:autoSpaceDN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经营支出：指事业单位在专业业务活动及其辅助活动之外开展非独立核算经营活动发生的支出。</w:t>
      </w:r>
    </w:p>
    <w:p>
      <w:pPr>
        <w:keepNext w:val="0"/>
        <w:keepLines w:val="0"/>
        <w:pageBreakBefore w:val="0"/>
        <w:widowControl w:val="0"/>
        <w:kinsoku/>
        <w:wordWrap/>
        <w:overflowPunct/>
        <w:topLinePunct w:val="0"/>
        <w:autoSpaceDE w:val="0"/>
        <w:autoSpaceDN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对附属单位补助支出：指事业单位发生的用非财政预算资金对附属单位的补助支出。</w:t>
      </w:r>
    </w:p>
    <w:p>
      <w:pPr>
        <w:keepNext w:val="0"/>
        <w:keepLines w:val="0"/>
        <w:pageBreakBefore w:val="0"/>
        <w:widowControl w:val="0"/>
        <w:kinsoku/>
        <w:wordWrap/>
        <w:overflowPunct/>
        <w:topLinePunct w:val="0"/>
        <w:autoSpaceDE w:val="0"/>
        <w:autoSpaceDN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三公”经费：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机关运行经费：行政单位和参照公务员法管理的事业单位财政拨款基本支出中的公用经费支出。</w:t>
      </w:r>
    </w:p>
    <w:p>
      <w:pPr>
        <w:keepNext w:val="0"/>
        <w:keepLines w:val="0"/>
        <w:pageBreakBefore w:val="0"/>
        <w:widowControl w:val="0"/>
        <w:kinsoku/>
        <w:wordWrap/>
        <w:overflowPunct/>
        <w:topLinePunct w:val="0"/>
        <w:autoSpaceDE/>
        <w:autoSpaceDN/>
        <w:adjustRightInd/>
        <w:snapToGrid/>
        <w:spacing w:line="240" w:lineRule="auto"/>
        <w:ind w:firstLine="562" w:firstLineChars="200"/>
        <w:jc w:val="center"/>
        <w:textAlignment w:val="auto"/>
        <w:outlineLvl w:val="0"/>
        <w:rPr>
          <w:rFonts w:hint="eastAsia" w:ascii="黑体" w:hAnsi="黑体" w:eastAsia="黑体"/>
          <w:sz w:val="32"/>
          <w:szCs w:val="32"/>
          <w:highlight w:val="none"/>
        </w:rPr>
      </w:pPr>
      <w:bookmarkStart w:id="36" w:name="_Toc22784"/>
      <w:bookmarkStart w:id="37" w:name="_Toc28903"/>
      <w:r>
        <w:rPr>
          <w:rFonts w:hint="default" w:ascii="黑体"/>
          <w:b/>
          <w:kern w:val="44"/>
          <w:sz w:val="28"/>
        </w:rPr>
        <w:br w:type="page"/>
      </w:r>
      <w:r>
        <w:rPr>
          <w:rFonts w:hint="default" w:ascii="黑体"/>
          <w:b/>
          <w:spacing w:val="40"/>
          <w:sz w:val="28"/>
        </w:rPr>
        <w:t xml:space="preserve"> </w:t>
      </w:r>
      <w:r>
        <w:rPr>
          <w:rFonts w:hint="eastAsia" w:ascii="黑体" w:hAnsi="黑体" w:eastAsia="黑体"/>
          <w:sz w:val="32"/>
          <w:szCs w:val="32"/>
          <w:highlight w:val="none"/>
        </w:rPr>
        <w:t>第四部分 部门决算报表（见附表）</w:t>
      </w:r>
      <w:bookmarkEnd w:id="36"/>
      <w:bookmarkEnd w:id="37"/>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rPr>
      </w:pPr>
      <w:bookmarkStart w:id="38" w:name="_Toc6062"/>
      <w:bookmarkStart w:id="39" w:name="_Toc2183"/>
      <w:r>
        <w:rPr>
          <w:rFonts w:hint="eastAsia" w:ascii="黑体" w:hAnsi="黑体" w:eastAsia="黑体" w:cs="宋体"/>
          <w:kern w:val="0"/>
          <w:sz w:val="32"/>
          <w:szCs w:val="32"/>
          <w:highlight w:val="none"/>
        </w:rPr>
        <w:t>一、《收入支出决算总表》</w:t>
      </w:r>
      <w:bookmarkEnd w:id="38"/>
      <w:bookmarkEnd w:id="39"/>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rPr>
      </w:pPr>
      <w:bookmarkStart w:id="40" w:name="_Toc30364"/>
      <w:bookmarkStart w:id="41" w:name="_Toc24532"/>
      <w:r>
        <w:rPr>
          <w:rFonts w:hint="eastAsia" w:ascii="黑体" w:hAnsi="黑体" w:eastAsia="黑体" w:cs="宋体"/>
          <w:kern w:val="0"/>
          <w:sz w:val="32"/>
          <w:szCs w:val="32"/>
          <w:highlight w:val="none"/>
        </w:rPr>
        <w:t>二、《收入决算表》</w:t>
      </w:r>
      <w:bookmarkEnd w:id="40"/>
      <w:bookmarkEnd w:id="41"/>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rPr>
      </w:pPr>
      <w:bookmarkStart w:id="42" w:name="_Toc32434"/>
      <w:bookmarkStart w:id="43" w:name="_Toc21304"/>
      <w:r>
        <w:rPr>
          <w:rFonts w:hint="eastAsia" w:ascii="黑体" w:hAnsi="黑体" w:eastAsia="黑体" w:cs="宋体"/>
          <w:kern w:val="0"/>
          <w:sz w:val="32"/>
          <w:szCs w:val="32"/>
          <w:highlight w:val="none"/>
        </w:rPr>
        <w:t>三、《支出决算表》</w:t>
      </w:r>
      <w:bookmarkEnd w:id="42"/>
      <w:bookmarkEnd w:id="43"/>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rPr>
      </w:pPr>
      <w:bookmarkStart w:id="44" w:name="_Toc28786"/>
      <w:bookmarkStart w:id="45" w:name="_Toc14238"/>
      <w:r>
        <w:rPr>
          <w:rFonts w:hint="eastAsia" w:ascii="黑体" w:hAnsi="黑体" w:eastAsia="黑体" w:cs="宋体"/>
          <w:kern w:val="0"/>
          <w:sz w:val="32"/>
          <w:szCs w:val="32"/>
          <w:highlight w:val="none"/>
        </w:rPr>
        <w:t>四、《财政拨款收入支出决算总表》</w:t>
      </w:r>
      <w:bookmarkEnd w:id="44"/>
      <w:bookmarkEnd w:id="45"/>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rPr>
      </w:pPr>
      <w:bookmarkStart w:id="46" w:name="_Toc10347"/>
      <w:bookmarkStart w:id="47" w:name="_Toc14869"/>
      <w:r>
        <w:rPr>
          <w:rFonts w:hint="eastAsia" w:ascii="黑体" w:hAnsi="黑体" w:eastAsia="黑体" w:cs="宋体"/>
          <w:kern w:val="0"/>
          <w:sz w:val="32"/>
          <w:szCs w:val="32"/>
          <w:highlight w:val="none"/>
        </w:rPr>
        <w:t>五、《一般公共预算财政拨款支出决算表》</w:t>
      </w:r>
      <w:bookmarkEnd w:id="46"/>
      <w:bookmarkEnd w:id="47"/>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rPr>
      </w:pPr>
      <w:bookmarkStart w:id="48" w:name="_Toc8884"/>
      <w:bookmarkStart w:id="49" w:name="_Toc5626"/>
      <w:r>
        <w:rPr>
          <w:rFonts w:hint="eastAsia" w:ascii="黑体" w:hAnsi="黑体" w:eastAsia="黑体" w:cs="宋体"/>
          <w:kern w:val="0"/>
          <w:sz w:val="32"/>
          <w:szCs w:val="32"/>
          <w:highlight w:val="none"/>
        </w:rPr>
        <w:t>六、《一般公共预算财政拨款基本支出决算表》</w:t>
      </w:r>
      <w:bookmarkEnd w:id="48"/>
      <w:bookmarkEnd w:id="49"/>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rPr>
      </w:pPr>
      <w:bookmarkStart w:id="50" w:name="_Toc29106"/>
      <w:bookmarkStart w:id="51" w:name="_Toc32663"/>
      <w:r>
        <w:rPr>
          <w:rFonts w:hint="eastAsia" w:ascii="黑体" w:hAnsi="黑体" w:eastAsia="黑体" w:cs="宋体"/>
          <w:kern w:val="0"/>
          <w:sz w:val="32"/>
          <w:szCs w:val="32"/>
          <w:highlight w:val="none"/>
        </w:rPr>
        <w:t>七、《财政拨款“三公”经费支出决算表》</w:t>
      </w:r>
      <w:bookmarkEnd w:id="50"/>
      <w:bookmarkEnd w:id="51"/>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lang w:eastAsia="zh-CN"/>
        </w:rPr>
      </w:pPr>
      <w:bookmarkStart w:id="52" w:name="_Toc7643"/>
      <w:bookmarkStart w:id="53" w:name="_Toc5453"/>
      <w:r>
        <w:rPr>
          <w:rFonts w:hint="eastAsia" w:ascii="黑体" w:hAnsi="黑体" w:eastAsia="黑体" w:cs="宋体"/>
          <w:kern w:val="0"/>
          <w:sz w:val="32"/>
          <w:szCs w:val="32"/>
          <w:highlight w:val="none"/>
        </w:rPr>
        <w:t>八、《政府性基金预算财政拨款收入支出决算表》</w:t>
      </w:r>
      <w:bookmarkEnd w:id="52"/>
      <w:bookmarkEnd w:id="53"/>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lang w:eastAsia="zh-CN"/>
        </w:rPr>
      </w:pPr>
      <w:r>
        <w:rPr>
          <w:rFonts w:hint="eastAsia" w:ascii="黑体" w:hAnsi="黑体" w:eastAsia="黑体" w:cs="宋体"/>
          <w:kern w:val="0"/>
          <w:sz w:val="32"/>
          <w:szCs w:val="32"/>
          <w:highlight w:val="none"/>
        </w:rPr>
        <w:t>九、《国有资本经营预算财政拨款收入支出决算表》</w:t>
      </w: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_GBK">
    <w:altName w:val="微软雅黑"/>
    <w:panose1 w:val="00000000000000000000"/>
    <w:charset w:val="00"/>
    <w:family w:val="auto"/>
    <w:pitch w:val="default"/>
    <w:sig w:usb0="00000000" w:usb1="00000000" w:usb2="00000000" w:usb3="00000000" w:csb0="00040000" w:csb1="00000000"/>
  </w:font>
  <w:font w:name="仿宋_GB2312">
    <w:altName w:val="仿宋"/>
    <w:panose1 w:val="00000000000000000000"/>
    <w:charset w:val="00"/>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 w:name="Helvetica">
    <w:altName w:val="Arial"/>
    <w:panose1 w:val="00000000000000000000"/>
    <w:charset w:val="00"/>
    <w:family w:val="auto"/>
    <w:pitch w:val="default"/>
    <w:sig w:usb0="00000000" w:usb1="00000000" w:usb2="00000000" w:usb3="00000000" w:csb0="00000000" w:csb1="00000000"/>
  </w:font>
  <w:font w:name="Arial">
    <w:panose1 w:val="020B0604020202020204"/>
    <w:charset w:val="00"/>
    <w:family w:val="auto"/>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tabs>
        <w:tab w:val="center" w:pos="4153"/>
        <w:tab w:val="right" w:pos="8306"/>
      </w:tabs>
    </w:pPr>
    <w:r>
      <w:rPr>
        <w:sz w:val="18"/>
      </w:rPr>
      <w:pict>
        <v:shape id="_x0000_s4097" o:spid="_x0000_s4097"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pPr>
                  <w:pStyle w:val="4"/>
                  <w:tabs>
                    <w:tab w:val="center" w:pos="4153"/>
                    <w:tab w:val="right" w:pos="8306"/>
                  </w:tabs>
                  <w:rPr>
                    <w:rFonts w:hint="eastAsia" w:eastAsia="宋体"/>
                    <w:lang w:eastAsia="zh-CN"/>
                  </w:rPr>
                </w:pPr>
                <w:r>
                  <w:rPr>
                    <w:rFonts w:hint="eastAsia"/>
                    <w:lang w:eastAsia="zh-CN"/>
                  </w:rPr>
                  <w:fldChar w:fldCharType="begin"/>
                </w:r>
                <w:r>
                  <w:rPr>
                    <w:rFonts w:hint="eastAsia"/>
                    <w:lang w:eastAsia="zh-CN"/>
                  </w:rPr>
                  <w:instrText xml:space="preserve"> PAGE \* MERGEFORMAT</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ulTrailSpace/>
    <w:doNotExpandShiftReturn/>
    <w:adjustLineHeightInTable/>
    <w:doNotWrapTextWithPunct/>
    <w:doNotUseEastAsianBreakRules/>
    <w:useFELayout/>
    <w:doNotUseIndentAsNumberingTabStop/>
    <w:useAltKinsokuLineBreakRules/>
    <w:splitPgBreakAndParaMark/>
    <w:compatSetting w:name="compatibilityMode" w:uri="http://schemas.microsoft.com/office/word" w:val="11"/>
  </w:compat>
  <w:docVars>
    <w:docVar w:name="commondata" w:val="eyJoZGlkIjoiZDEzZmRjNGE1MWFhMmQ5YTI4N2U2NGVhNTI5YmQ5NzAifQ=="/>
  </w:docVars>
  <w:rsids>
    <w:rsidRoot w:val="00000000"/>
    <w:rsid w:val="26BE2B67"/>
    <w:rsid w:val="34F73AE3"/>
    <w:rsid w:val="4205511B"/>
    <w:rsid w:val="4320097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hint="default" w:ascii="Times New Roman" w:hAnsi="Times New Roman" w:eastAsia="宋体" w:cs="Times New Roman"/>
      <w:kern w:val="2"/>
      <w:sz w:val="21"/>
      <w:szCs w:val="24"/>
      <w:lang w:val="en-US" w:eastAsia="zh-CN"/>
    </w:rPr>
  </w:style>
  <w:style w:type="character" w:default="1" w:styleId="9">
    <w:name w:val="Default Paragraph Font"/>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snapToGrid w:val="0"/>
      <w:jc w:val="left"/>
    </w:pPr>
    <w:rPr>
      <w:sz w:val="18"/>
    </w:rPr>
  </w:style>
  <w:style w:type="paragraph" w:styleId="5">
    <w:name w:val="header"/>
    <w:basedOn w:val="1"/>
    <w:qFormat/>
    <w:uiPriority w:val="0"/>
    <w:pPr>
      <w:pBdr>
        <w:top w:val="none" w:color="auto" w:sz="0" w:space="0"/>
        <w:left w:val="none" w:color="auto" w:sz="0" w:space="0"/>
        <w:bottom w:val="none" w:color="auto" w:sz="0" w:space="0"/>
        <w:right w:val="none" w:color="auto" w:sz="0" w:space="0"/>
      </w:pBdr>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customStyle="1" w:styleId="10">
    <w:name w:val="WPSOffice手动目录 3"/>
    <w:qFormat/>
    <w:uiPriority w:val="0"/>
    <w:pPr>
      <w:ind w:left="400" w:leftChars="400"/>
    </w:pPr>
    <w:rPr>
      <w:rFonts w:ascii="Times New Roman" w:hAnsi="Times New Roman" w:eastAsia="宋体" w:cs="Times New Roman"/>
      <w:sz w:val="20"/>
      <w:szCs w:val="20"/>
    </w:rPr>
  </w:style>
  <w:style w:type="paragraph" w:customStyle="1" w:styleId="11">
    <w:name w:val="WPSOffice手动目录 2"/>
    <w:qFormat/>
    <w:uiPriority w:val="0"/>
    <w:pPr>
      <w:ind w:left="200" w:leftChars="200"/>
    </w:pPr>
    <w:rPr>
      <w:rFonts w:ascii="Times New Roman" w:hAnsi="Times New Roman" w:eastAsia="宋体" w:cs="Times New Roman"/>
      <w:sz w:val="20"/>
      <w:szCs w:val="20"/>
    </w:rPr>
  </w:style>
  <w:style w:type="paragraph" w:customStyle="1" w:styleId="12">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16</Pages>
  <Words>4995</Words>
  <Characters>5525</Characters>
  <Lines>0</Lines>
  <Paragraphs>0</Paragraphs>
  <TotalTime>6</TotalTime>
  <ScaleCrop>false</ScaleCrop>
  <LinksUpToDate>false</LinksUpToDate>
  <CharactersWithSpaces>5556</CharactersWithSpaces>
  <Application>WPS Office_12.1.0.16929_F1E327BC-269C-435d-A152-05C5408002CA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琪琪妈妈</cp:lastModifiedBy>
  <dcterms:modified xsi:type="dcterms:W3CDTF">2024-06-25T16:21:57Z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FB63E8A99C844AD88EE5641F13EED65A_13</vt:lpwstr>
  </property>
</Properties>
</file>