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bidi w:val="0"/>
        <w:rPr>
          <w:rFonts w:hint="eastAsia" w:eastAsia="宋体"/>
          <w:color w:val="000000" w:themeColor="text1"/>
          <w:lang w:val="en-US" w:eastAsia="zh-CN"/>
        </w:rPr>
      </w:pPr>
      <w:r>
        <w:rPr>
          <w:rFonts w:hint="eastAsia"/>
          <w:color w:val="000000" w:themeColor="text1"/>
          <w:lang w:val="en-US" w:eastAsia="zh-CN"/>
        </w:rPr>
        <w:t xml:space="preserve"> </w:t>
      </w:r>
      <w:bookmarkStart w:id="0" w:name="_GoBack"/>
      <w:bookmarkEnd w:id="0"/>
    </w:p>
    <w:p>
      <w:pPr>
        <w:pStyle w:val="7"/>
        <w:tabs>
          <w:tab w:val="left" w:pos="1920"/>
        </w:tabs>
        <w:spacing w:line="360" w:lineRule="auto"/>
        <w:jc w:val="both"/>
        <w:rPr>
          <w:b/>
          <w:color w:val="000000" w:themeColor="text1"/>
          <w:sz w:val="44"/>
          <w:szCs w:val="44"/>
        </w:rPr>
      </w:pPr>
      <w:r>
        <w:rPr>
          <w:b/>
          <w:color w:val="000000" w:themeColor="text1"/>
          <w:sz w:val="44"/>
          <w:szCs w:val="44"/>
        </w:rPr>
        <w:tab/>
      </w:r>
    </w:p>
    <w:p>
      <w:pPr>
        <w:spacing w:line="540" w:lineRule="exact"/>
        <w:ind w:left="801" w:leftChars="171" w:hanging="442" w:hangingChars="100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000000" w:themeColor="text1"/>
          <w:sz w:val="44"/>
          <w:szCs w:val="44"/>
        </w:rPr>
        <w:t>额敏县郊区乡20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 w:themeColor="text1"/>
          <w:sz w:val="44"/>
          <w:szCs w:val="44"/>
          <w:lang w:val="en-US" w:eastAsia="zh-CN"/>
        </w:rPr>
        <w:t>22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 w:themeColor="text1"/>
          <w:sz w:val="44"/>
          <w:szCs w:val="44"/>
        </w:rPr>
        <w:t>年财政专项扶贫资金绩效自评总结报告</w:t>
      </w:r>
    </w:p>
    <w:p>
      <w:pPr>
        <w:pStyle w:val="7"/>
        <w:spacing w:line="360" w:lineRule="auto"/>
        <w:jc w:val="center"/>
        <w:rPr>
          <w:b/>
          <w:color w:val="000000" w:themeColor="text1"/>
          <w:sz w:val="44"/>
          <w:szCs w:val="44"/>
        </w:rPr>
      </w:pPr>
    </w:p>
    <w:p>
      <w:pPr>
        <w:pStyle w:val="7"/>
        <w:spacing w:line="360" w:lineRule="auto"/>
        <w:jc w:val="center"/>
        <w:rPr>
          <w:b/>
          <w:color w:val="000000" w:themeColor="text1"/>
          <w:sz w:val="44"/>
          <w:szCs w:val="44"/>
        </w:rPr>
      </w:pPr>
    </w:p>
    <w:p>
      <w:pPr>
        <w:pStyle w:val="7"/>
        <w:spacing w:line="360" w:lineRule="auto"/>
        <w:jc w:val="center"/>
        <w:rPr>
          <w:b/>
          <w:color w:val="000000" w:themeColor="text1"/>
          <w:sz w:val="44"/>
          <w:szCs w:val="44"/>
        </w:rPr>
      </w:pP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6"/>
          <w:szCs w:val="36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6"/>
          <w:szCs w:val="36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6"/>
          <w:szCs w:val="36"/>
          <w:highlight w:val="none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6"/>
          <w:szCs w:val="36"/>
        </w:rPr>
        <w:t>年度）</w:t>
      </w: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6"/>
          <w:szCs w:val="36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36"/>
          <w:szCs w:val="36"/>
        </w:rPr>
        <w:t>项目名称：额敏县郊区乡甘泉村乡村旅游产业孵化园（实训基地）基础设施建设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36"/>
          <w:szCs w:val="36"/>
        </w:rPr>
        <w:t>实施单位（公章）：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36"/>
          <w:szCs w:val="36"/>
          <w:lang w:eastAsia="zh-CN"/>
        </w:rPr>
        <w:t>额敏县郊区乡人民政府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0" w:firstLineChars="0"/>
        <w:jc w:val="center"/>
        <w:textAlignment w:val="auto"/>
        <w:rPr>
          <w:rFonts w:hint="default" w:asciiTheme="minorEastAsia" w:hAnsiTheme="minorEastAsia" w:eastAsiaTheme="minorEastAsia" w:cstheme="minorEastAsia"/>
          <w:b w:val="0"/>
          <w:bCs/>
          <w:color w:val="000000" w:themeColor="text1"/>
          <w:sz w:val="36"/>
          <w:szCs w:val="36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36"/>
          <w:szCs w:val="36"/>
        </w:rPr>
        <w:t>主管部门（公章）：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36"/>
          <w:szCs w:val="36"/>
          <w:lang w:val="en-US" w:eastAsia="zh-CN"/>
        </w:rPr>
        <w:t>额敏县乡村振兴局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36"/>
          <w:szCs w:val="36"/>
        </w:rPr>
        <w:t>项目负责人（签章）：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36"/>
          <w:szCs w:val="36"/>
          <w:lang w:val="en-US" w:eastAsia="zh-CN"/>
        </w:rPr>
        <w:t>仝丹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36"/>
          <w:szCs w:val="36"/>
        </w:rPr>
        <w:t xml:space="preserve">填报时间：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kern w:val="0"/>
          <w:sz w:val="36"/>
          <w:szCs w:val="36"/>
          <w:lang w:val="en-US" w:eastAsia="zh-CN"/>
        </w:rPr>
        <w:t>2023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kern w:val="0"/>
          <w:sz w:val="36"/>
          <w:szCs w:val="36"/>
        </w:rPr>
        <w:t>年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kern w:val="0"/>
          <w:sz w:val="36"/>
          <w:szCs w:val="36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kern w:val="0"/>
          <w:sz w:val="36"/>
          <w:szCs w:val="36"/>
        </w:rPr>
        <w:t>月</w:t>
      </w: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int="eastAsia" w:ascii="方正小标宋_GBK" w:hAnsi="黑体" w:eastAsia="方正小标宋_GBK" w:cs="黑体"/>
          <w:color w:val="000000" w:themeColor="text1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int="eastAsia" w:ascii="方正小标宋" w:hAnsi="方正小标宋" w:eastAsia="方正小标宋" w:cs="方正小标宋"/>
          <w:color w:val="000000" w:themeColor="text1"/>
          <w:sz w:val="36"/>
          <w:szCs w:val="36"/>
        </w:rPr>
      </w:pPr>
      <w:r>
        <w:rPr>
          <w:rFonts w:hint="eastAsia" w:ascii="方正小标宋" w:hAnsi="方正小标宋" w:eastAsia="方正小标宋" w:cs="方正小标宋"/>
          <w:color w:val="000000" w:themeColor="text1"/>
          <w:sz w:val="36"/>
          <w:szCs w:val="36"/>
        </w:rPr>
        <w:t>额敏县郊区乡20</w:t>
      </w:r>
      <w:r>
        <w:rPr>
          <w:rFonts w:hint="eastAsia" w:ascii="方正小标宋" w:hAnsi="方正小标宋" w:eastAsia="方正小标宋" w:cs="方正小标宋"/>
          <w:color w:val="000000" w:themeColor="text1"/>
          <w:sz w:val="36"/>
          <w:szCs w:val="36"/>
          <w:lang w:val="en-US" w:eastAsia="zh-CN"/>
        </w:rPr>
        <w:t>21</w:t>
      </w:r>
      <w:r>
        <w:rPr>
          <w:rFonts w:hint="eastAsia" w:ascii="方正小标宋" w:hAnsi="方正小标宋" w:eastAsia="方正小标宋" w:cs="方正小标宋"/>
          <w:color w:val="000000" w:themeColor="text1"/>
          <w:sz w:val="36"/>
          <w:szCs w:val="36"/>
        </w:rPr>
        <w:t>年财政专项扶贫资金绩效</w:t>
      </w:r>
    </w:p>
    <w:p>
      <w:pPr>
        <w:pStyle w:val="7"/>
        <w:spacing w:line="360" w:lineRule="auto"/>
        <w:jc w:val="center"/>
        <w:rPr>
          <w:rFonts w:hint="eastAsia" w:ascii="方正小标宋" w:hAnsi="方正小标宋" w:eastAsia="方正小标宋" w:cs="方正小标宋"/>
          <w:color w:val="000000" w:themeColor="text1"/>
          <w:sz w:val="36"/>
          <w:szCs w:val="36"/>
        </w:rPr>
      </w:pPr>
      <w:r>
        <w:rPr>
          <w:rFonts w:hint="eastAsia" w:ascii="方正小标宋" w:hAnsi="方正小标宋" w:eastAsia="方正小标宋" w:cs="方正小标宋"/>
          <w:color w:val="000000" w:themeColor="text1"/>
          <w:sz w:val="36"/>
          <w:szCs w:val="36"/>
        </w:rPr>
        <w:t>自评总结报告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800" w:firstLineChars="250"/>
        <w:textAlignment w:val="auto"/>
        <w:rPr>
          <w:rFonts w:ascii="黑体" w:hAnsi="黑体" w:eastAsia="黑体" w:cs="仿宋_GB2312"/>
          <w:b w:val="0"/>
          <w:bCs/>
          <w:color w:val="000000" w:themeColor="text1"/>
          <w:sz w:val="32"/>
          <w:szCs w:val="32"/>
        </w:rPr>
      </w:pPr>
      <w:r>
        <w:rPr>
          <w:rFonts w:hint="eastAsia" w:ascii="黑体" w:hAnsi="黑体" w:eastAsia="黑体" w:cs="仿宋_GB2312"/>
          <w:b w:val="0"/>
          <w:bCs/>
          <w:color w:val="000000" w:themeColor="text1"/>
          <w:sz w:val="32"/>
          <w:szCs w:val="32"/>
        </w:rPr>
        <w:t>一、绩效目标分解下达情况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000000" w:themeColor="text1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000000" w:themeColor="text1"/>
          <w:sz w:val="32"/>
          <w:szCs w:val="32"/>
        </w:rPr>
        <w:t>（一）财政专项扶贫资金下达预算及项目情况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</w:rPr>
        <w:t>1.下达预算情况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额乡振局发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highlight w:val="none"/>
          <w:lang w:val="en-US" w:eastAsia="zh-CN"/>
        </w:rPr>
        <w:t>[2022]14号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highlight w:val="none"/>
        </w:rPr>
        <w:t>文件批复，本项目财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政专项扶贫资金共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650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全为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自治区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衔接资金。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</w:rPr>
        <w:t>2.项目情况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项目名称：额敏县郊区乡甘泉村乡村旅游产业孵化园（实训基地）基础设施建设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项目建设地点：郊区乡甘泉村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项目建设规模及建设内容：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新建服务及附属用房405平方米、硬化9140平方米、排水管网2374米、给水管网391米、供暖管网928米、电缆2371米及附属配套设施。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i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项目总投资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650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万元，实际安排资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金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650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万元。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</w:rPr>
        <w:t>3.项目招投标情况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本项目采用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公开招标方式确定施工单位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并签订相应合同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000000" w:themeColor="text1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000000" w:themeColor="text1"/>
          <w:sz w:val="32"/>
          <w:szCs w:val="32"/>
        </w:rPr>
        <w:t>（二）财政专项扶贫资金项目绩效目标设定情况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i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根据我县财政专项扶贫资金安排，对额敏县郊区乡甘泉村乡村旅游产业孵化园（实训基地）基础设施建设申报绩效目标。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i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（1）项目绩效总体目标设定如下：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目标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1：新建服务及附属用房405平方米；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目标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2：硬化9140平方米；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目标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3：排水管网2374米；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目标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4：给水管网391米；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目标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5：供暖管网928米；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目标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6：电缆2371米及附属配套设施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40" w:leftChars="0" w:firstLine="800" w:firstLineChars="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具体绩效指标见下表：</w:t>
      </w:r>
    </w:p>
    <w:tbl>
      <w:tblPr>
        <w:tblStyle w:val="8"/>
        <w:tblW w:w="837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758"/>
        <w:gridCol w:w="1001"/>
        <w:gridCol w:w="2859"/>
        <w:gridCol w:w="29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指标</w:t>
            </w: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年度指标值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标</w:t>
            </w:r>
          </w:p>
        </w:tc>
        <w:tc>
          <w:tcPr>
            <w:tcW w:w="10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新建附属用房（平方米)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=405平方米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地面硬化面积（平方米）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=9140平方米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新建排水管网（米）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=2374米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新建给水管网（米）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=391米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新建供暖管网（米）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=928米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电缆（米）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=2371米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项目验收合格率（%）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10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开工及时率（%）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完工及时率（%）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项目验收时间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2022年9月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10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地面硬化成本（≤万元）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≤168万元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预计附属用房成本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≤162万元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预计管网设施成本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≤320万元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项目受益自然村（个）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1个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10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受益脱贫人口数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≥300人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工程设计使用年限（≥年）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≥10年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改善农牧民生活环境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有效改善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带动农村经济发展率（≥%）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≥96%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受益户满意度（≥%）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</w:tr>
    </w:tbl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800" w:firstLineChars="250"/>
        <w:textAlignment w:val="auto"/>
        <w:rPr>
          <w:rFonts w:hint="eastAsia" w:ascii="黑体" w:hAnsi="黑体" w:eastAsia="黑体" w:cs="仿宋_GB2312"/>
          <w:b w:val="0"/>
          <w:bCs/>
          <w:color w:val="000000" w:themeColor="text1"/>
          <w:sz w:val="32"/>
          <w:szCs w:val="32"/>
        </w:rPr>
      </w:pPr>
      <w:r>
        <w:rPr>
          <w:rFonts w:hint="eastAsia" w:ascii="黑体" w:hAnsi="黑体" w:eastAsia="黑体" w:cs="仿宋_GB2312"/>
          <w:b w:val="0"/>
          <w:bCs/>
          <w:color w:val="000000" w:themeColor="text1"/>
          <w:sz w:val="32"/>
          <w:szCs w:val="32"/>
        </w:rPr>
        <w:t>二、绩效自评工作开展情况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000000" w:themeColor="text1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000000" w:themeColor="text1"/>
          <w:sz w:val="32"/>
          <w:szCs w:val="32"/>
        </w:rPr>
        <w:t>（一）自评工作开展范围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</w:rPr>
        <w:t>该项目预算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eastAsia="zh-CN"/>
        </w:rPr>
        <w:t>安排资金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val="en-US" w:eastAsia="zh-CN"/>
        </w:rPr>
        <w:t>650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全为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自治区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衔接资金。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highlight w:val="none"/>
        </w:rPr>
        <w:t>通过分析该项目资金使用、管理和项目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</w:rPr>
        <w:t>实施等情况，规范项目申报、公示、审批、实施、监管、验收及资金发放等程序，对项目主管单位和实施单位的资金分配、管理等制度进行开展自评工作。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000000" w:themeColor="text1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000000" w:themeColor="text1"/>
          <w:sz w:val="32"/>
          <w:szCs w:val="32"/>
        </w:rPr>
        <w:t>（二）自评工作开展对象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</w:rPr>
        <w:t>根据《国务院办公厅关于转发&lt;财政部、国务院扶贫办、国家发展改革委扶贫项目资金绩效管理办法&gt;的通知》（国办发〔2018〕35号）和《财政部关于全面加强脱贫攻坚期内各级各类扶贫资金管理的意见》（财办〔2018〕24号）等文件精神及《新疆维吾尔自治区县级扶贫项目资金绩效管理操作指南（试行）》，对本项目的预算资金执行情况及绩效目标的完成情况开展自评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000000" w:themeColor="text1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000000" w:themeColor="text1"/>
          <w:sz w:val="32"/>
          <w:szCs w:val="32"/>
        </w:rPr>
        <w:t>（三）自评工作开展时间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000000" w:themeColor="text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highlight w:val="none"/>
        </w:rPr>
        <w:t>年3月1日至2022年3月15日开展自评工作。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000000" w:themeColor="text1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000000" w:themeColor="text1"/>
          <w:sz w:val="32"/>
          <w:szCs w:val="32"/>
        </w:rPr>
        <w:t>（四）自评工作开展方式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000000" w:themeColor="text1"/>
          <w:sz w:val="32"/>
          <w:szCs w:val="32"/>
        </w:rPr>
      </w:pPr>
      <w:r>
        <w:rPr>
          <w:rFonts w:ascii="仿宋_GB2312" w:hAnsi="仿宋_GB2312" w:eastAsia="仿宋_GB2312" w:cs="仿宋_GB2312"/>
          <w:b/>
          <w:color w:val="000000" w:themeColor="text1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</w:rPr>
        <w:t>、前期准备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</w:rPr>
        <w:t>（1）整理项目全过程资料建档：立项依据、资金及项目批复文件、绩效目标申报表、实施方案、验收报告等作为评价基础资料。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</w:rPr>
        <w:t>（2）由本单位、实施单位、财务等人员组成评价组。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</w:rPr>
        <w:t>（3）自评工作组采取“目标预定与实施效果比较法”进行评价，评价指标体系以绩效目标申报表中的指标为依据。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000000" w:themeColor="text1"/>
          <w:sz w:val="32"/>
          <w:szCs w:val="32"/>
        </w:rPr>
      </w:pPr>
      <w:r>
        <w:rPr>
          <w:rFonts w:ascii="仿宋_GB2312" w:hAnsi="仿宋_GB2312" w:eastAsia="仿宋_GB2312" w:cs="仿宋_GB2312"/>
          <w:b/>
          <w:color w:val="000000" w:themeColor="text1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</w:rPr>
        <w:t>、组织过程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</w:rPr>
        <w:t>（1）采取现场和非现场评价相结合的方式实施评价，核查核实评价基础资料。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</w:rPr>
        <w:t>（2）记录工作底稿并经项目负责人和经办人签字确认。需要调查问卷的，发放调查问卷开展满意度调查工作。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000000" w:themeColor="text1"/>
          <w:sz w:val="32"/>
          <w:szCs w:val="32"/>
        </w:rPr>
      </w:pPr>
      <w:r>
        <w:rPr>
          <w:rFonts w:ascii="仿宋_GB2312" w:hAnsi="仿宋_GB2312" w:eastAsia="仿宋_GB2312" w:cs="仿宋_GB2312"/>
          <w:b/>
          <w:color w:val="000000" w:themeColor="text1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</w:rPr>
        <w:t>、分析评价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</w:rPr>
        <w:t>对采集的数据资料进行复核汇总、分类整理和综合分析，按照设立的评价指标、标准、权重、方法实施评价，并形成评价结论。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800" w:firstLineChars="250"/>
        <w:textAlignment w:val="auto"/>
        <w:rPr>
          <w:rFonts w:hint="eastAsia" w:ascii="黑体" w:hAnsi="黑体" w:eastAsia="黑体" w:cs="仿宋_GB2312"/>
          <w:b w:val="0"/>
          <w:bCs/>
          <w:color w:val="000000" w:themeColor="text1"/>
          <w:sz w:val="32"/>
          <w:szCs w:val="32"/>
        </w:rPr>
      </w:pPr>
      <w:r>
        <w:rPr>
          <w:rFonts w:hint="eastAsia" w:ascii="黑体" w:hAnsi="黑体" w:eastAsia="黑体" w:cs="仿宋_GB2312"/>
          <w:b w:val="0"/>
          <w:bCs/>
          <w:color w:val="000000" w:themeColor="text1"/>
          <w:sz w:val="32"/>
          <w:szCs w:val="32"/>
        </w:rPr>
        <w:t>三、绩效目标自评完成情况分析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000000" w:themeColor="text1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000000" w:themeColor="text1"/>
          <w:sz w:val="32"/>
          <w:szCs w:val="32"/>
        </w:rPr>
        <w:t>（一）资金投入情况分析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000000" w:themeColor="text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:highlight w:val="none"/>
        </w:rPr>
        <w:t>1.项目资金到位情况分析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highlight w:val="none"/>
        </w:rPr>
        <w:t>本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highlight w:val="none"/>
          <w:lang w:eastAsia="zh-CN"/>
        </w:rPr>
        <w:t>项目全部预算资金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highlight w:val="none"/>
          <w:lang w:val="en-US" w:eastAsia="zh-CN"/>
        </w:rPr>
        <w:t>650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highlight w:val="none"/>
        </w:rPr>
        <w:t>万元，实际到位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highlight w:val="none"/>
          <w:lang w:eastAsia="zh-CN"/>
        </w:rPr>
        <w:t>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highlight w:val="none"/>
          <w:lang w:val="en-US" w:eastAsia="zh-CN"/>
        </w:rPr>
        <w:t>650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highlight w:val="none"/>
        </w:rPr>
        <w:t>万元，资金全年预算到位率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highlight w:val="none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</w:rPr>
        <w:t>2.项目资金执行情况分析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highlight w:val="none"/>
        </w:rPr>
        <w:t>本项目已进行完成竣工财务决算审计并通过验收，实际执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highlight w:val="none"/>
          <w:lang w:val="en-US" w:eastAsia="zh-CN"/>
        </w:rPr>
        <w:t>行599.000755万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highlight w:val="none"/>
        </w:rPr>
        <w:t>元，执行率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highlight w:val="none"/>
          <w:lang w:val="en-US" w:eastAsia="zh-CN"/>
        </w:rPr>
        <w:t>92.15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highlight w:val="none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</w:rPr>
        <w:t>3.项目资金管理情况分析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highlight w:val="none"/>
        </w:rPr>
        <w:t>按照自治区相关要求，严格执行财政专项扶贫项目资金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</w:rPr>
        <w:t>台账制度，做到了本项目资金封闭运行、专款专用。在加强纪检、财政、审计日常监督管理的同时，确保资金使用安全、合规。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000000" w:themeColor="text1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000000" w:themeColor="text1"/>
          <w:sz w:val="32"/>
          <w:szCs w:val="32"/>
        </w:rPr>
        <w:t>（二）绩效目标完成情况分析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</w:rPr>
        <w:t>1.产出指标完成情况分析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i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（1）数量指标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附属用房（≥平方米)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预期指标值：≥405平方米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指标完成值；≥405平方米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硬化（≥平方米）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预期指标值：≥9140平方米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指标完成值：≥9140平方米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排水管网（≥米）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预期指标值：≥2374米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指标完成值：≥2374米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给水管网（≥米）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预期指标值：≥391米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指标完成值：≥391米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供暖管网（≥米）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预期指标值：≥928米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指标完成值：≥928米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供暖管网（≥米）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预期指标值：≥928米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指标完成值：≥928米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电缆（≥米）：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预期指标值：≥2371米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指标完成值：≥2371米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（2）质量指标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项目验收合格率：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预期指标值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：100%，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指标完成值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：100%;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验收结果评定为合格，并且已经投入使用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（3）时效指标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开工及时率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：预期指标值：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100%，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指标完成值：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100%;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完工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及时率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：预期指标值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：100%，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指标完成值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：100%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;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竣工验收及时率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：预期指标值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：100%，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指标完成值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：100%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;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i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（4）成本指标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地面硬化成本（≤万元）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：预期指标值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：≤168万元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，指标完成值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≤168万元；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预计附属用房成本（≤万元）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：预期指标值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：≤162万元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，指标完成值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≤162万元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预计管网设施成本（≤万元）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：预期指标值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：≤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32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0万元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，指标完成值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≤320万元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000000" w:themeColor="text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:highlight w:val="none"/>
        </w:rPr>
        <w:t>2.效益指标完成情况分析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（1）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社会效益指标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项目受益自然村（个）：预期指标值：1个，指标完成值：1个;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受益脱贫人口数：预期指标值：≥300人，指标完成值：≥300人;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38" w:leftChars="304" w:firstLine="0" w:firstLineChars="0"/>
        <w:textAlignment w:val="auto"/>
        <w:rPr>
          <w:rFonts w:ascii="仿宋_GB2312" w:hAnsi="仿宋_GB2312" w:eastAsia="仿宋_GB2312" w:cs="仿宋_GB2312"/>
          <w:i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（2）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可持续影响指标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工程设计使用年限：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预期指标值：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≥10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已正常投入使用，可以达到设计使用年限10年;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）生态效益指标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改善农牧民生活环境：预期指标值：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有效改善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指标完成值：有效改善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eastAsia="zh-CN"/>
        </w:rPr>
        <w:t>）经济效益指标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lang w:val="en-US" w:eastAsia="zh-CN"/>
        </w:rPr>
        <w:t>带动农村经济发展率（≥%）预期指标值：≥96%，指标完成值：≥96%;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000000" w:themeColor="text1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:highlight w:val="none"/>
        </w:rPr>
        <w:t>3.满意度指标完成情况分析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</w:rPr>
        <w:t>服务对象满意度指标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</w:rPr>
        <w:t>受益户满意度：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</w:rPr>
        <w:t>预期指标值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</w:rPr>
        <w:t>≥96%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</w:rPr>
        <w:t>指标完成值≥96%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</w:rPr>
        <w:t>%;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800" w:firstLineChars="250"/>
        <w:textAlignment w:val="auto"/>
        <w:rPr>
          <w:rFonts w:hint="eastAsia" w:ascii="黑体" w:hAnsi="黑体" w:eastAsia="黑体" w:cs="仿宋_GB2312"/>
          <w:b w:val="0"/>
          <w:bCs/>
          <w:color w:val="000000" w:themeColor="text1"/>
          <w:sz w:val="32"/>
          <w:szCs w:val="32"/>
        </w:rPr>
      </w:pPr>
      <w:r>
        <w:rPr>
          <w:rFonts w:hint="eastAsia" w:ascii="黑体" w:hAnsi="黑体" w:eastAsia="黑体" w:cs="仿宋_GB2312"/>
          <w:b w:val="0"/>
          <w:bCs/>
          <w:color w:val="000000" w:themeColor="text1"/>
          <w:sz w:val="32"/>
          <w:szCs w:val="32"/>
        </w:rPr>
        <w:t>四、偏离绩效目标的原因和下一步改进措施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000000" w:themeColor="text1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000000" w:themeColor="text1"/>
          <w:sz w:val="32"/>
          <w:szCs w:val="32"/>
        </w:rPr>
        <w:t>（一）偏离绩效目标的原因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</w:rPr>
        <w:t>工程竣工结算审计审减资金以及扣留3%质保金。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000000" w:themeColor="text1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000000" w:themeColor="text1"/>
          <w:sz w:val="32"/>
          <w:szCs w:val="32"/>
        </w:rPr>
        <w:t>（二）下一步改进措施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</w:rPr>
        <w:t>进一步加强项目项目绩效评估和公开,同时在实施过程中加强监督和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highlight w:val="none"/>
          <w:lang w:val="en-US" w:eastAsia="zh-CN"/>
        </w:rPr>
        <w:t>管理,避免各项资金的拨款合理,从而保证项目能够按照合同合理施工,以达到项目的预期效果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highlight w:val="none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800" w:firstLineChars="250"/>
        <w:textAlignment w:val="auto"/>
        <w:rPr>
          <w:rFonts w:hint="eastAsia" w:ascii="黑体" w:hAnsi="黑体" w:eastAsia="黑体" w:cs="仿宋_GB2312"/>
          <w:b w:val="0"/>
          <w:bCs/>
          <w:color w:val="000000" w:themeColor="text1"/>
          <w:sz w:val="32"/>
          <w:szCs w:val="32"/>
        </w:rPr>
      </w:pPr>
      <w:r>
        <w:rPr>
          <w:rFonts w:hint="eastAsia" w:ascii="黑体" w:hAnsi="黑体" w:eastAsia="黑体" w:cs="仿宋_GB2312"/>
          <w:b w:val="0"/>
          <w:bCs/>
          <w:color w:val="000000" w:themeColor="text1"/>
          <w:sz w:val="32"/>
          <w:szCs w:val="32"/>
        </w:rPr>
        <w:t>五、绩效自评结果拟应用和公开情况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ascii="仿宋_GB2312" w:hAnsi="仿宋_GB2312" w:eastAsia="仿宋_GB2312" w:cs="仿宋_GB2312"/>
          <w:iCs/>
          <w:color w:val="000000" w:themeColor="text1"/>
          <w:sz w:val="32"/>
          <w:szCs w:val="32"/>
        </w:rPr>
        <w:t>经综合评价，本项目实施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基本</w:t>
      </w:r>
      <w:r>
        <w:rPr>
          <w:rFonts w:ascii="仿宋_GB2312" w:hAnsi="仿宋_GB2312" w:eastAsia="仿宋_GB2312" w:cs="仿宋_GB2312"/>
          <w:iCs/>
          <w:color w:val="000000" w:themeColor="text1"/>
          <w:sz w:val="32"/>
          <w:szCs w:val="32"/>
        </w:rPr>
        <w:t>达成预期指标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，</w:t>
      </w:r>
      <w:r>
        <w:rPr>
          <w:rFonts w:ascii="仿宋_GB2312" w:hAnsi="仿宋_GB2312" w:eastAsia="仿宋_GB2312" w:cs="仿宋_GB2312"/>
          <w:iCs/>
          <w:color w:val="000000" w:themeColor="text1"/>
          <w:sz w:val="32"/>
          <w:szCs w:val="32"/>
        </w:rPr>
        <w:t>资金使用、管理、保障到位，严格执行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</w:rPr>
        <w:t>财政专项扶贫项目资金实施及报账有关</w:t>
      </w:r>
      <w:r>
        <w:rPr>
          <w:rFonts w:ascii="仿宋_GB2312" w:hAnsi="仿宋_GB2312" w:eastAsia="仿宋_GB2312" w:cs="仿宋_GB2312"/>
          <w:iCs/>
          <w:color w:val="000000" w:themeColor="text1"/>
          <w:sz w:val="32"/>
          <w:szCs w:val="32"/>
        </w:rPr>
        <w:t>制度，能按照实施方案执行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项目管理</w:t>
      </w:r>
      <w:r>
        <w:rPr>
          <w:rFonts w:ascii="仿宋_GB2312" w:hAnsi="仿宋_GB2312" w:eastAsia="仿宋_GB2312" w:cs="仿宋_GB2312"/>
          <w:iCs/>
          <w:color w:val="000000" w:themeColor="text1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加大郊区乡对全面实施预算绩效管理和绩效管理工作的学习力度，让“花钱必问效，无效必问责”的理念深入工作每个环节。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</w:rPr>
        <w:t>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后要积极采取其他部门的反馈意见，针对反馈意见，在今后的项目建设当中举一反三，提高项目建设管理能力，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为下一阶段开展工作做好准备。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i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本项目，</w:t>
      </w:r>
      <w:r>
        <w:rPr>
          <w:rFonts w:ascii="仿宋_GB2312" w:hAnsi="仿宋_GB2312" w:eastAsia="仿宋_GB2312" w:cs="仿宋_GB2312"/>
          <w:iCs/>
          <w:color w:val="000000" w:themeColor="text1"/>
          <w:sz w:val="32"/>
          <w:szCs w:val="32"/>
        </w:rPr>
        <w:t>综合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自评</w:t>
      </w:r>
      <w:r>
        <w:rPr>
          <w:rFonts w:ascii="仿宋_GB2312" w:hAnsi="仿宋_GB2312" w:eastAsia="仿宋_GB2312" w:cs="仿宋_GB2312"/>
          <w:iCs/>
          <w:color w:val="000000" w:themeColor="text1"/>
          <w:sz w:val="32"/>
          <w:szCs w:val="32"/>
        </w:rPr>
        <w:t>得分为</w:t>
      </w: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  <w:highlight w:val="none"/>
          <w:lang w:val="en-US" w:eastAsia="zh-CN"/>
        </w:rPr>
        <w:t>98.9</w:t>
      </w:r>
      <w:r>
        <w:rPr>
          <w:rFonts w:ascii="仿宋_GB2312" w:hAnsi="仿宋_GB2312" w:eastAsia="仿宋_GB2312" w:cs="仿宋_GB2312"/>
          <w:iCs/>
          <w:color w:val="000000" w:themeColor="text1"/>
          <w:sz w:val="32"/>
          <w:szCs w:val="32"/>
        </w:rPr>
        <w:t>分。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  <w:t>本项目绩效自评报告将按照规定要求，</w:t>
      </w:r>
      <w:r>
        <w:rPr>
          <w:rFonts w:ascii="仿宋_GB2312" w:hAnsi="仿宋_GB2312" w:eastAsia="仿宋_GB2312" w:cs="仿宋_GB2312"/>
          <w:iCs/>
          <w:color w:val="000000" w:themeColor="text1"/>
          <w:sz w:val="32"/>
          <w:szCs w:val="32"/>
        </w:rPr>
        <w:t>通过门户网站或张榜公示等方式向社会公开，接受社会监督。</w:t>
      </w:r>
    </w:p>
    <w:p>
      <w:pPr>
        <w:pStyle w:val="7"/>
        <w:spacing w:line="360" w:lineRule="auto"/>
        <w:ind w:firstLine="640" w:firstLineChars="200"/>
        <w:rPr>
          <w:rFonts w:hint="eastAsia" w:ascii="仿宋_GB2312" w:hAnsi="仿宋_GB2312" w:eastAsia="仿宋_GB2312" w:cs="仿宋_GB2312"/>
          <w:iCs/>
          <w:color w:val="000000" w:themeColor="text1"/>
          <w:sz w:val="32"/>
          <w:szCs w:val="32"/>
        </w:rPr>
      </w:pPr>
    </w:p>
    <w:p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iCs/>
          <w:color w:val="000000" w:themeColor="text1"/>
          <w:sz w:val="32"/>
          <w:szCs w:val="32"/>
        </w:rPr>
      </w:pPr>
    </w:p>
    <w:p>
      <w:pPr>
        <w:pStyle w:val="7"/>
        <w:spacing w:line="360" w:lineRule="auto"/>
        <w:rPr>
          <w:rFonts w:ascii="黑体" w:hAnsi="黑体" w:eastAsia="黑体" w:cs="仿宋_GB2312"/>
          <w:b/>
          <w:color w:val="000000" w:themeColor="text1"/>
          <w:sz w:val="32"/>
          <w:szCs w:val="32"/>
        </w:rPr>
      </w:pPr>
    </w:p>
    <w:p>
      <w:pPr>
        <w:rPr>
          <w:color w:val="000000" w:themeColor="text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方正小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82226449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DE9DA"/>
    <w:multiLevelType w:val="singleLevel"/>
    <w:tmpl w:val="0A2DE9DA"/>
    <w:lvl w:ilvl="0" w:tentative="0">
      <w:start w:val="2"/>
      <w:numFmt w:val="decimal"/>
      <w:suff w:val="nothing"/>
      <w:lvlText w:val="（%1）"/>
      <w:lvlJc w:val="left"/>
      <w:pPr>
        <w:ind w:left="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DU5MWRjMGI4ZmI0MmQyOTcxNWI0ZjlkNDA2MzQyNzUifQ=="/>
  </w:docVars>
  <w:rsids>
    <w:rsidRoot w:val="00477BED"/>
    <w:rsid w:val="000453B0"/>
    <w:rsid w:val="0011192C"/>
    <w:rsid w:val="001866F7"/>
    <w:rsid w:val="00295EFC"/>
    <w:rsid w:val="002B6039"/>
    <w:rsid w:val="002E2281"/>
    <w:rsid w:val="002E7419"/>
    <w:rsid w:val="003300A7"/>
    <w:rsid w:val="00365845"/>
    <w:rsid w:val="003C683C"/>
    <w:rsid w:val="00402440"/>
    <w:rsid w:val="00413FB0"/>
    <w:rsid w:val="00477BED"/>
    <w:rsid w:val="004D32A8"/>
    <w:rsid w:val="005228BC"/>
    <w:rsid w:val="00525C9E"/>
    <w:rsid w:val="005815AB"/>
    <w:rsid w:val="00596C76"/>
    <w:rsid w:val="005B167A"/>
    <w:rsid w:val="005F1DDD"/>
    <w:rsid w:val="00604477"/>
    <w:rsid w:val="006335C8"/>
    <w:rsid w:val="006611A8"/>
    <w:rsid w:val="00672A12"/>
    <w:rsid w:val="00681CD1"/>
    <w:rsid w:val="006F0EF4"/>
    <w:rsid w:val="00707BCC"/>
    <w:rsid w:val="0073413E"/>
    <w:rsid w:val="0073513E"/>
    <w:rsid w:val="007E5B8D"/>
    <w:rsid w:val="0085105A"/>
    <w:rsid w:val="00910427"/>
    <w:rsid w:val="00960104"/>
    <w:rsid w:val="0096053C"/>
    <w:rsid w:val="0096255B"/>
    <w:rsid w:val="009867F1"/>
    <w:rsid w:val="00A17134"/>
    <w:rsid w:val="00A26D02"/>
    <w:rsid w:val="00AB1DA9"/>
    <w:rsid w:val="00B26931"/>
    <w:rsid w:val="00B400CF"/>
    <w:rsid w:val="00B73D5E"/>
    <w:rsid w:val="00BD5F61"/>
    <w:rsid w:val="00CA3978"/>
    <w:rsid w:val="00CA4236"/>
    <w:rsid w:val="00D24D7C"/>
    <w:rsid w:val="00D91433"/>
    <w:rsid w:val="00E00AB9"/>
    <w:rsid w:val="00E37FEE"/>
    <w:rsid w:val="00E9444F"/>
    <w:rsid w:val="00EC26DC"/>
    <w:rsid w:val="00EF4888"/>
    <w:rsid w:val="00F03F79"/>
    <w:rsid w:val="01B43103"/>
    <w:rsid w:val="03D732FB"/>
    <w:rsid w:val="05B13168"/>
    <w:rsid w:val="06BF60AA"/>
    <w:rsid w:val="0811193C"/>
    <w:rsid w:val="08EE38A7"/>
    <w:rsid w:val="093259F3"/>
    <w:rsid w:val="0C293915"/>
    <w:rsid w:val="0E360ED3"/>
    <w:rsid w:val="0EBB3FD7"/>
    <w:rsid w:val="124E648A"/>
    <w:rsid w:val="143D2449"/>
    <w:rsid w:val="14D12D74"/>
    <w:rsid w:val="14EB5B02"/>
    <w:rsid w:val="15356BFE"/>
    <w:rsid w:val="181E4FA2"/>
    <w:rsid w:val="19E435BB"/>
    <w:rsid w:val="1A3916E4"/>
    <w:rsid w:val="1B064B11"/>
    <w:rsid w:val="1B9B0411"/>
    <w:rsid w:val="1D015749"/>
    <w:rsid w:val="1D3527DE"/>
    <w:rsid w:val="1EBE253F"/>
    <w:rsid w:val="1F4255C6"/>
    <w:rsid w:val="21CA4352"/>
    <w:rsid w:val="244609DB"/>
    <w:rsid w:val="252E1EDB"/>
    <w:rsid w:val="26BA6D67"/>
    <w:rsid w:val="26CD1BF2"/>
    <w:rsid w:val="26D75013"/>
    <w:rsid w:val="279A18FA"/>
    <w:rsid w:val="29923171"/>
    <w:rsid w:val="29A44584"/>
    <w:rsid w:val="2A2D3722"/>
    <w:rsid w:val="2AF6579E"/>
    <w:rsid w:val="2C1973F0"/>
    <w:rsid w:val="2C2F0E20"/>
    <w:rsid w:val="2CF93CB6"/>
    <w:rsid w:val="33404346"/>
    <w:rsid w:val="36001317"/>
    <w:rsid w:val="374544A5"/>
    <w:rsid w:val="37966E9D"/>
    <w:rsid w:val="3A4C4BFB"/>
    <w:rsid w:val="3B6C68C5"/>
    <w:rsid w:val="3DB30E09"/>
    <w:rsid w:val="3E3023B0"/>
    <w:rsid w:val="3F702165"/>
    <w:rsid w:val="41016513"/>
    <w:rsid w:val="41B3224E"/>
    <w:rsid w:val="45BE6F7C"/>
    <w:rsid w:val="4AE16981"/>
    <w:rsid w:val="4D587978"/>
    <w:rsid w:val="4D65194F"/>
    <w:rsid w:val="4DCF2BE7"/>
    <w:rsid w:val="4FBC5B56"/>
    <w:rsid w:val="4FD952FC"/>
    <w:rsid w:val="52CE15C4"/>
    <w:rsid w:val="554E4DFE"/>
    <w:rsid w:val="55631AF0"/>
    <w:rsid w:val="5BA73533"/>
    <w:rsid w:val="5BB072EA"/>
    <w:rsid w:val="61207D3B"/>
    <w:rsid w:val="62B834E6"/>
    <w:rsid w:val="65246B24"/>
    <w:rsid w:val="66250BE8"/>
    <w:rsid w:val="66FA2E9F"/>
    <w:rsid w:val="68326805"/>
    <w:rsid w:val="689873D6"/>
    <w:rsid w:val="696F4AE1"/>
    <w:rsid w:val="6A4A7719"/>
    <w:rsid w:val="6BED08D1"/>
    <w:rsid w:val="6CC04F7A"/>
    <w:rsid w:val="6EE2762C"/>
    <w:rsid w:val="703A55AC"/>
    <w:rsid w:val="71DB7235"/>
    <w:rsid w:val="73580A0F"/>
    <w:rsid w:val="74C07E65"/>
    <w:rsid w:val="767437B8"/>
    <w:rsid w:val="76DB2C18"/>
    <w:rsid w:val="793B0529"/>
    <w:rsid w:val="79AE5E4E"/>
    <w:rsid w:val="7F655501"/>
    <w:rsid w:val="7FE14E5A"/>
    <w:rsid w:val="7FF7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bCs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link w:val="11"/>
    <w:unhideWhenUsed/>
    <w:qFormat/>
    <w:uiPriority w:val="99"/>
    <w:pPr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脚注文本 Char"/>
    <w:basedOn w:val="9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批注框文本 Char"/>
    <w:basedOn w:val="9"/>
    <w:link w:val="4"/>
    <w:semiHidden/>
    <w:qFormat/>
    <w:uiPriority w:val="99"/>
    <w:rPr>
      <w:kern w:val="2"/>
      <w:sz w:val="18"/>
      <w:szCs w:val="18"/>
    </w:rPr>
  </w:style>
  <w:style w:type="character" w:customStyle="1" w:styleId="13">
    <w:name w:val="页眉 Char"/>
    <w:basedOn w:val="9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9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闻政-正文段落文字"/>
    <w:basedOn w:val="1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2012dnd.com</Company>
  <Pages>9</Pages>
  <Words>2854</Words>
  <Characters>3087</Characters>
  <Lines>20</Lines>
  <Paragraphs>5</Paragraphs>
  <TotalTime>1</TotalTime>
  <ScaleCrop>false</ScaleCrop>
  <LinksUpToDate>false</LinksUpToDate>
  <CharactersWithSpaces>3095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2019-10-26T09:48:00Z</dcterms:created>
  <dc:creator>zhangyanping</dc:creator>
  <cp:lastModifiedBy>Administrator</cp:lastModifiedBy>
  <cp:lastPrinted>2019-12-01T17:00:00Z</cp:lastPrinted>
  <dcterms:modified xsi:type="dcterms:W3CDTF">2023-02-10T04:46:01Z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8C51CC944921490888F406B98F77D425</vt:lpwstr>
  </property>
  <property fmtid="{D5CDD505-2E9C-101B-9397-08002B2CF9AE}" pid="4" name="KSOSaveFontToCloudKey">
    <vt:lpwstr>241329296_cloud</vt:lpwstr>
  </property>
</Properties>
</file>