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新疆塔城地区额敏县喀拉也木勒镇社会保障（民政）服务中心（退役军人服务站）2022年度部门决算公开说明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1、负责本乡镇城乡居民基本医疗保险的管理工作；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2、定期向县城乡居民基本医疗保险委汇报工作，及时处理其他日常业务；</w:t>
      </w:r>
      <w:r>
        <w:rPr>
          <w:rFonts w:hint="eastAsia" w:ascii="仿宋_GB2312" w:eastAsia="仿宋_GB2312"/>
          <w:sz w:val="32"/>
          <w:szCs w:val="32"/>
          <w:highlight w:val="none"/>
        </w:rPr>
        <w:br w:type="textWrapping"/>
      </w:r>
      <w:r>
        <w:rPr>
          <w:rFonts w:hint="eastAsia" w:ascii="仿宋_GB2312" w:eastAsia="仿宋_GB2312"/>
          <w:sz w:val="32"/>
          <w:szCs w:val="32"/>
          <w:highlight w:val="none"/>
        </w:rPr>
        <w:t>　　3、协助有关部门筹集、管理城乡居民基本医疗保险基金；</w:t>
      </w:r>
      <w:r>
        <w:rPr>
          <w:rFonts w:hint="eastAsia" w:ascii="仿宋_GB2312" w:eastAsia="仿宋_GB2312"/>
          <w:sz w:val="32"/>
          <w:szCs w:val="32"/>
          <w:highlight w:val="none"/>
        </w:rPr>
        <w:br w:type="textWrapping"/>
      </w:r>
      <w:r>
        <w:rPr>
          <w:rFonts w:hint="eastAsia" w:ascii="仿宋_GB2312" w:eastAsia="仿宋_GB2312"/>
          <w:sz w:val="32"/>
          <w:szCs w:val="32"/>
          <w:highlight w:val="none"/>
        </w:rPr>
        <w:t>　　4、负责本乡镇医疗费用的审核与报销；</w:t>
      </w:r>
      <w:r>
        <w:rPr>
          <w:rFonts w:hint="eastAsia" w:ascii="仿宋_GB2312" w:eastAsia="仿宋_GB2312"/>
          <w:sz w:val="32"/>
          <w:szCs w:val="32"/>
          <w:highlight w:val="none"/>
        </w:rPr>
        <w:br w:type="textWrapping"/>
      </w:r>
      <w:r>
        <w:rPr>
          <w:rFonts w:hint="eastAsia" w:ascii="仿宋_GB2312" w:eastAsia="仿宋_GB2312"/>
          <w:sz w:val="32"/>
          <w:szCs w:val="32"/>
          <w:highlight w:val="none"/>
        </w:rPr>
        <w:t>　　5、为农民提供城乡居民基本医疗保险咨询服务；   </w:t>
      </w:r>
      <w:r>
        <w:rPr>
          <w:rFonts w:hint="eastAsia" w:ascii="仿宋_GB2312" w:eastAsia="仿宋_GB2312"/>
          <w:sz w:val="32"/>
          <w:szCs w:val="32"/>
          <w:highlight w:val="none"/>
        </w:rPr>
        <w:br w:type="textWrapping"/>
      </w:r>
      <w:r>
        <w:rPr>
          <w:rFonts w:hint="eastAsia" w:ascii="仿宋_GB2312" w:eastAsia="仿宋_GB2312"/>
          <w:sz w:val="32"/>
          <w:szCs w:val="32"/>
          <w:highlight w:val="none"/>
        </w:rPr>
        <w:t>　　6、报告和公布本辖区城乡居民基本医疗保险基金使用情况；</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7、对本乡镇定点医疗机构医疗服务质量和费用水平的审查和监管；</w:t>
      </w:r>
      <w:r>
        <w:rPr>
          <w:rFonts w:hint="eastAsia" w:ascii="仿宋_GB2312" w:eastAsia="仿宋_GB2312"/>
          <w:sz w:val="32"/>
          <w:szCs w:val="32"/>
          <w:highlight w:val="none"/>
        </w:rPr>
        <w:br w:type="textWrapping"/>
      </w:r>
      <w:r>
        <w:rPr>
          <w:rFonts w:hint="eastAsia" w:ascii="仿宋_GB2312" w:eastAsia="仿宋_GB2312"/>
          <w:sz w:val="32"/>
          <w:szCs w:val="32"/>
          <w:highlight w:val="none"/>
        </w:rPr>
        <w:t>　　8、负责信息化管理系统的数据录入与维护，建立健全合作医疗档案；</w:t>
      </w:r>
      <w:r>
        <w:rPr>
          <w:rFonts w:hint="eastAsia" w:ascii="仿宋_GB2312" w:eastAsia="仿宋_GB2312"/>
          <w:sz w:val="32"/>
          <w:szCs w:val="32"/>
          <w:highlight w:val="none"/>
        </w:rPr>
        <w:br w:type="textWrapping"/>
      </w:r>
      <w:r>
        <w:rPr>
          <w:rFonts w:hint="eastAsia" w:ascii="仿宋_GB2312" w:eastAsia="仿宋_GB2312"/>
          <w:sz w:val="32"/>
          <w:szCs w:val="32"/>
          <w:highlight w:val="none"/>
        </w:rPr>
        <w:t>　　9、落实上级交办的其他任务。</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新疆塔城地区额敏县喀拉也木勒镇社会保障（民政）服务中心（退役军人服务站）2022年度，实有人数6人，其中：在职人员5人，离休人员0人，退休人员1人。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喀拉也木勒镇社会保障（民政）服务中心（退役军人服务站）部门决算包括：新疆塔城地区额敏县喀拉也木勒镇社会保障（民政）服务中心（退役军人服务站）决算。单位无下属预算单位，下设0个处室，分别是：无。</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收入总计78.19万元</w:t>
      </w:r>
      <w:r>
        <w:rPr>
          <w:rFonts w:hint="eastAsia" w:ascii="仿宋_GB2312" w:eastAsia="仿宋_GB2312"/>
          <w:sz w:val="32"/>
          <w:szCs w:val="32"/>
          <w:highlight w:val="none"/>
          <w:lang w:eastAsia="zh-CN"/>
        </w:rPr>
        <w:t>，其中：本年收入合计78.19万元，使用非财政拨款结余0.00万元，年初结转和结余0.00万元。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增加39.37万元，增长101.42%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rPr>
        <w:t>人员工资正常晋升，本年收入增加。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本年支出总计78.19万元</w:t>
      </w:r>
      <w:r>
        <w:rPr>
          <w:rFonts w:hint="eastAsia" w:ascii="仿宋_GB2312" w:eastAsia="仿宋_GB2312"/>
          <w:sz w:val="32"/>
          <w:szCs w:val="32"/>
          <w:highlight w:val="none"/>
          <w:lang w:eastAsia="zh-CN"/>
        </w:rPr>
        <w:t>，其中：本年支出合计78.19万元，结余分配0.00万元，年末结转和结余0.00万元。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，增加39.37万元，增长101.42%，主要原因是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rPr>
        <w:t>人员工资正常晋升，本年</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本年收入78.19万元，其中：财政拨款收入78.19万元，占100.00%；上级补助收入0.00万元，占0.00%；事业收入0.00万元，占0.00%；经营收入0.00万元，占0.00%；附属单位上缴收入0.00万元，占0.00%；其他收入0.00万元，占0.00%。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本年支出78.19万元，其中：基本支出78.19万元，占100.00%；项目支出0.00万元，占0.00%；上缴上级支出0.00万元，占0.00%；经营支出0.00万元，占0.00%；对附属单位补助支出0.00万元，占0.00%。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财政拨款收入总计78.19万元，其中：年初财政拨款结转和结余0.00万元，财政拨款本年收入78.19万元。财政拨款收入总计与上年相比，增加39.37万元，增长101.42%，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rPr>
        <w:t>人员工资正常晋升，本年收入增加。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财政拨款支出总计78.19万元，其中：年末财政拨款结转和结余0.00万元，财政拨款本年支出78.19万元。财政拨款支出总计与上年相比，增加39.37万元，增长101.42%，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rPr>
        <w:t>人员工资正常晋升，本年</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与年初预算数相比情况：财政拨款收入总计年初预算数73.00万元，决算数78.19万元，预决算差异率7.11%，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本年度人员工资正常晋升，本年收入增加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。财政拨款支出总计年初预算数73.00万元，决算数78.19万元，预决算差异率7.11%，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本年度人员工资正常晋升，本年</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一般公共预算财政拨款支出78.19万元，占本年支出合计的100.00%，与上年相比，增加39.37万元，增长101.42%，主要原因是：本年度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rPr>
        <w:t>人员工资正常晋升，本年</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1.社会保障和就业支出（类）69.62万元，占89.04%。</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2.卫生健康支出（类）2.97万元，占3.80%。</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3.住房保障支出（类）5.60万元，占7.16%。</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1.社会保障和就业支出（类）人力资源和社会保障管理事务（款）事业运行（项）：支出决算数为63.03万元，比上年决算增加33.69万元，增长114.83%，主要原因是：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lang w:val="en-US" w:eastAsia="zh-CN"/>
        </w:rPr>
        <w:t>人员工资正常晋升，支出增加。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2.社会保障和就业支出（类）行政事业单位养老支出（款）事业单位离退休（项）：支出决算数为0.57万元，比上年决算增加0.57万元，增长100%，主要原因是：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lang w:val="en-US" w:eastAsia="zh-CN"/>
        </w:rPr>
        <w:t>事业单位离退休支出增加。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3.社会保障和就业支出（类）行政事业单位养老支出（款）机关事业单位基本养老保险缴费支出（项）：支出决算数为6.01万元，比上年决算增加1.93万元，增长47.30%，主要原因是：本</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lang w:val="en-US" w:eastAsia="zh-CN"/>
        </w:rPr>
        <w:t>人员工资正常晋升，基本养老保险缴费支出增加。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4.卫生健康支出（类）行政事业单位医疗（款）事业单位医疗（项）：支出决算数为2.97万元，比上年决算增加0.58万元，增长24.27%，主要原因是：本</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lang w:val="en-US" w:eastAsia="zh-CN"/>
        </w:rPr>
        <w:t>人员工资正常晋升，事业单位医疗支出增加。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5.住房保障支出（类）住房改革支出（款）住房公积金（项）：支出决算数为5.60万元，比上年决算增加2.58万元，增长85.43%，主要原因是：本</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机构改革，人员合并，</w:t>
      </w:r>
      <w:r>
        <w:rPr>
          <w:rFonts w:hint="eastAsia" w:ascii="仿宋_GB2312" w:eastAsia="仿宋_GB2312"/>
          <w:sz w:val="32"/>
          <w:szCs w:val="32"/>
          <w:highlight w:val="none"/>
          <w:lang w:val="en-US" w:eastAsia="zh-CN"/>
        </w:rPr>
        <w:t>人员工资正常晋升，本年支出增加。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30870"/>
      <w:bookmarkStart w:id="19" w:name="_Toc11146"/>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2022年度一般公共预算财政拨款基本支出78.19万元，其中：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人员经费74.89万元，包括：基本工资、津贴补贴、奖金、绩效工资、机关事业单位基本养老保险缴费、职工基本医疗保险缴费、其他社会保障缴费、住房公积金、退休费。</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公用经费3.30万元，包括：办公费。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7927"/>
      <w:bookmarkStart w:id="23" w:name="_Toc5810"/>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喀拉也木勒镇社会保障（民政）服务中心（退役军人服务站）（事业单位）公用经费3.30万元，比上年增加3.30万元，增长100%，主要原因是：本年度事业单位机构改革，单位合并，公用经费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3.22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无其他车辆；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我单位无预算绩效评价项目。发现的问题及原因：我单位无预算绩效评价项目。下一步改进措施：我单位无预算绩效评价项目</w:t>
      </w:r>
      <w:bookmarkStart w:id="54" w:name="_GoBack"/>
      <w:bookmarkEnd w:id="54"/>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24143"/>
      <w:bookmarkStart w:id="35" w:name="_Toc3250"/>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4869"/>
      <w:bookmarkStart w:id="47" w:name="_Toc10347"/>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5626"/>
      <w:bookmarkStart w:id="49" w:name="_Toc8884"/>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B2D3987"/>
    <w:rsid w:val="108C11AB"/>
    <w:rsid w:val="1F265082"/>
    <w:rsid w:val="32A94D9B"/>
    <w:rsid w:val="577740E5"/>
    <w:rsid w:val="5E12017F"/>
    <w:rsid w:val="74FF03CF"/>
    <w:rsid w:val="7C737A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4876</Words>
  <Characters>5412</Characters>
  <Lines>0</Lines>
  <Paragraphs>0</Paragraphs>
  <TotalTime>8</TotalTime>
  <ScaleCrop>false</ScaleCrop>
  <LinksUpToDate>false</LinksUpToDate>
  <CharactersWithSpaces>5441</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2024-06-25T15:07:41Z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A6C1EA869F754A2B8FAB0C4EAF6DF981_13</vt:lpwstr>
  </property>
</Properties>
</file>