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djustRightInd/>
        <w:snapToGrid/>
        <w:spacing w:line="240" w:lineRule="auto"/>
        <w:jc w:val="both"/>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r>
        <w:rPr>
          <w:rFonts w:hint="eastAsia" w:ascii="方正小标宋_GBK" w:hAnsi="方正小标宋_GBK" w:eastAsia="方正小标宋_GBK"/>
          <w:sz w:val="44"/>
          <w:szCs w:val="44"/>
          <w:highlight w:val="none"/>
        </w:rPr>
        <w:t>新疆塔城地区额敏县喀拉也木勒镇农村合作经济（统计）发展中心（财政所）2022年度部门决算公开说明</w:t>
      </w:r>
    </w:p>
    <w:p>
      <w:pPr>
        <w:keepNext w:val="0"/>
        <w:keepLines w:val="0"/>
        <w:pageBreakBefore w:val="0"/>
        <w:widowControl w:val="0"/>
        <w:kinsoku/>
        <w:wordWrap/>
        <w:overflowPunct/>
        <w:topLinePunct w:val="0"/>
        <w:autoSpaceDE/>
        <w:autoSpaceDN/>
        <w:adjustRightInd/>
        <w:snapToGrid/>
        <w:spacing w:line="240" w:lineRule="auto"/>
        <w:ind w:left="0" w:leftChars="0"/>
        <w:jc w:val="center"/>
        <w:textAlignment w:val="auto"/>
        <w:rPr>
          <w:rFonts w:hint="eastAsia" w:ascii="仿宋_GB2312" w:hAnsi="仿宋_GB2312" w:eastAsia="仿宋_GB2312" w:cs="仿宋_GB2312"/>
          <w:b w:val="0"/>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_Toc32314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第一部分 单位概况</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二、机构设置</w:t>
      </w:r>
      <w:r>
        <w:rPr>
          <w:rFonts w:hint="eastAsia" w:ascii="仿宋_GB2312" w:hAnsi="仿宋_GB2312" w:eastAsia="仿宋_GB2312" w:cs="仿宋_GB2312"/>
          <w:kern w:val="0"/>
          <w:sz w:val="32"/>
          <w:szCs w:val="32"/>
          <w:highlight w:val="none"/>
          <w:lang w:eastAsia="zh-CN"/>
        </w:rPr>
        <w:t>及人员</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_Toc29374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第二部分 部门决算情况说明</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二、</w:t>
      </w:r>
      <w:r>
        <w:rPr>
          <w:rFonts w:hint="eastAsia" w:ascii="仿宋_GB2312" w:hAnsi="仿宋_GB2312" w:eastAsia="仿宋_GB2312" w:cs="仿宋_GB2312"/>
          <w:kern w:val="0"/>
          <w:sz w:val="32"/>
          <w:szCs w:val="32"/>
          <w:highlight w:val="none"/>
        </w:rPr>
        <w:t>收入</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七</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eastAsia="zh-CN"/>
        </w:rPr>
        <w:t>财政拨款</w:t>
      </w:r>
      <w:r>
        <w:rPr>
          <w:rFonts w:hint="eastAsia" w:ascii="仿宋_GB2312" w:hAnsi="仿宋_GB2312" w:eastAsia="仿宋_GB2312" w:cs="仿宋_GB2312"/>
          <w:kern w:val="0"/>
          <w:sz w:val="32"/>
          <w:szCs w:val="32"/>
          <w:highlight w:val="none"/>
        </w:rPr>
        <w:t>“三公”经费支出</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w:t>
      </w:r>
      <w:r>
        <w:rPr>
          <w:rFonts w:hint="eastAsia" w:ascii="仿宋_GB2312" w:hAnsi="仿宋_GB2312" w:eastAsia="仿宋_GB2312" w:cs="仿宋_GB2312"/>
          <w:kern w:val="0"/>
          <w:sz w:val="32"/>
          <w:szCs w:val="32"/>
          <w:highlight w:val="none"/>
        </w:rPr>
        <w:t>、其他重要事项的情况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_Toc3250</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第三部分 专业名词解释</w:t>
      </w:r>
      <w:r>
        <w:rPr>
          <w:rFonts w:hint="eastAsia" w:ascii="仿宋_GB2312" w:hAnsi="仿宋_GB2312" w:eastAsia="仿宋_GB2312" w:cs="仿宋_GB2312"/>
          <w:b/>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_Toc22784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第四部分 部门决算报表（见附表）</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八、《政府性基金预算财政拨款收入支出决算表》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九、《国有资本经营预算财政拨款收入支出决算表》</w:t>
      </w: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0" w:name="_Toc24028"/>
      <w:bookmarkStart w:id="1" w:name="_Toc32314"/>
      <w:r>
        <w:rPr>
          <w:rFonts w:hint="eastAsia" w:ascii="黑体" w:hAnsi="黑体" w:eastAsia="黑体"/>
          <w:sz w:val="32"/>
          <w:szCs w:val="32"/>
          <w:highlight w:val="none"/>
        </w:rPr>
        <w:t>第一部分 单位概况</w:t>
      </w:r>
      <w:bookmarkEnd w:id="0"/>
      <w:bookmarkEnd w:id="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default" w:ascii="黑体" w:hAnsi="黑体" w:eastAsia="黑体" w:cs="宋体"/>
          <w:kern w:val="0"/>
          <w:sz w:val="32"/>
          <w:szCs w:val="32"/>
          <w:highlight w:val="none"/>
        </w:rPr>
      </w:pPr>
      <w:bookmarkStart w:id="2" w:name="_Toc30738"/>
      <w:bookmarkStart w:id="3" w:name="_Toc30567"/>
      <w:r>
        <w:rPr>
          <w:rFonts w:hint="eastAsia" w:ascii="黑体" w:hAnsi="黑体" w:eastAsia="黑体" w:cs="宋体"/>
          <w:kern w:val="0"/>
          <w:sz w:val="32"/>
          <w:szCs w:val="32"/>
          <w:highlight w:val="none"/>
        </w:rPr>
        <w:t>一、主要职能</w:t>
      </w:r>
      <w:bookmarkEnd w:id="2"/>
      <w:bookmarkEnd w:id="3"/>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（1）负责组织和管理场财政收入和支出，编制执行场年度财政预算，监督场单位预算执行，编制财政决算;组织协调收入。根据财政体制规定，负责场非税收入资金的管理;</w:t>
      </w:r>
      <w:r>
        <w:rPr>
          <w:rFonts w:hint="eastAsia" w:ascii="仿宋_GB2312" w:eastAsia="仿宋_GB2312"/>
          <w:sz w:val="32"/>
          <w:szCs w:val="32"/>
          <w:highlight w:val="none"/>
        </w:rPr>
        <w:br w:type="textWrapping"/>
      </w:r>
      <w:r>
        <w:rPr>
          <w:rFonts w:hint="eastAsia" w:ascii="仿宋_GB2312" w:eastAsia="仿宋_GB2312"/>
          <w:sz w:val="32"/>
          <w:szCs w:val="32"/>
          <w:highlight w:val="none"/>
        </w:rPr>
        <w:t>　　（2）专项资金管理。监督粮食直接补贴、大型农机具补贴、退耕还林补助粮食资金等直接面向农民的补贴性资金和上级下达的农田水利建设、新农村建设等惠民专项资金、农村公益项目资金的落实;负责或协助场范围内农村五保户补助、抚恤优抚资金，农村低保资金等政策规定的社会保障资金管理和发放;</w:t>
      </w:r>
      <w:r>
        <w:rPr>
          <w:rFonts w:hint="eastAsia" w:ascii="仿宋_GB2312" w:eastAsia="仿宋_GB2312"/>
          <w:sz w:val="32"/>
          <w:szCs w:val="32"/>
          <w:highlight w:val="none"/>
        </w:rPr>
        <w:br w:type="textWrapping"/>
      </w:r>
      <w:r>
        <w:rPr>
          <w:rFonts w:hint="eastAsia" w:ascii="仿宋_GB2312" w:eastAsia="仿宋_GB2312"/>
          <w:sz w:val="32"/>
          <w:szCs w:val="32"/>
          <w:highlight w:val="none"/>
        </w:rPr>
        <w:t>　　（3）国有资产管理。对场国有资产的购置、登记、处置进行管理，确保场国有资产安全和保值增值;单位财务监管。负责场各单位会计核算和代理村级会计核算工作;财经政策执行。</w:t>
      </w:r>
      <w:r>
        <w:rPr>
          <w:rFonts w:hint="eastAsia" w:ascii="仿宋_GB2312" w:eastAsia="仿宋_GB2312"/>
          <w:sz w:val="32"/>
          <w:szCs w:val="32"/>
          <w:highlight w:val="none"/>
        </w:rPr>
        <w:br w:type="textWrapping"/>
      </w:r>
      <w:r>
        <w:rPr>
          <w:rFonts w:hint="eastAsia" w:ascii="仿宋_GB2312" w:eastAsia="仿宋_GB2312"/>
          <w:sz w:val="32"/>
          <w:szCs w:val="32"/>
          <w:highlight w:val="none"/>
        </w:rPr>
        <w:t>　　（4）贯彻党和国家财经方针政策，严格执行财政法规和财经制度;依法监管会计人员从业资格和会计信息，培训会计人员;督促会计人员依法履行职责;负责监督场范围内各单位的财务活动，检查财税政策、法令和财务会计制度执行情况。</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 w:name="_Toc31238"/>
      <w:bookmarkStart w:id="5" w:name="_Toc2151"/>
      <w:r>
        <w:rPr>
          <w:rFonts w:hint="eastAsia" w:ascii="黑体" w:hAnsi="黑体" w:eastAsia="黑体" w:cs="宋体"/>
          <w:kern w:val="0"/>
          <w:sz w:val="32"/>
          <w:szCs w:val="32"/>
          <w:highlight w:val="none"/>
        </w:rPr>
        <w:t>二、机构设置</w:t>
      </w:r>
      <w:r>
        <w:rPr>
          <w:rFonts w:hint="eastAsia" w:ascii="黑体" w:hAnsi="黑体" w:eastAsia="黑体" w:cs="宋体"/>
          <w:kern w:val="0"/>
          <w:sz w:val="32"/>
          <w:szCs w:val="32"/>
          <w:highlight w:val="none"/>
          <w:lang w:eastAsia="zh-CN"/>
        </w:rPr>
        <w:t>及</w:t>
      </w:r>
      <w:bookmarkEnd w:id="4"/>
      <w:r>
        <w:rPr>
          <w:rFonts w:hint="eastAsia" w:ascii="黑体" w:hAnsi="黑体" w:eastAsia="黑体" w:cs="宋体"/>
          <w:kern w:val="0"/>
          <w:sz w:val="32"/>
          <w:szCs w:val="32"/>
          <w:highlight w:val="none"/>
          <w:lang w:eastAsia="zh-CN"/>
        </w:rPr>
        <w:t>人员</w:t>
      </w:r>
      <w:r>
        <w:rPr>
          <w:rFonts w:hint="eastAsia" w:ascii="黑体" w:hAnsi="黑体" w:eastAsia="黑体" w:cs="宋体"/>
          <w:kern w:val="0"/>
          <w:sz w:val="32"/>
          <w:szCs w:val="32"/>
          <w:highlight w:val="none"/>
        </w:rPr>
        <w:t>情况</w:t>
      </w:r>
      <w:bookmarkEnd w:id="5"/>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新疆塔城地区额敏县喀拉也木勒镇农村合作经济（统计）发展中心（财政所）2022年度，实有人数17人，其中：在职人员13人，离休人员0人，退休人员4人。</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从部门决算单位构成看，新疆塔城地区额敏县喀拉也木勒镇农村合作经济（统计）发展中心（财政所）部门决算包括：新疆塔城地区额敏县喀拉也木勒镇农村合作经济（统计）发展中心（财政所）决算。单位无下属预算单位，下设0个处室，分别是：无。</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6" w:name="_Toc29374"/>
      <w:bookmarkStart w:id="7" w:name="_Toc3092"/>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第二部分 部门决算情况说明</w:t>
      </w:r>
      <w:bookmarkEnd w:id="6"/>
      <w:bookmarkEnd w:id="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8" w:name="_Toc12566"/>
      <w:bookmarkStart w:id="9" w:name="_Toc25314"/>
      <w:r>
        <w:rPr>
          <w:rFonts w:hint="eastAsia" w:ascii="黑体" w:hAnsi="黑体" w:eastAsia="黑体" w:cs="宋体"/>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收入总计201.66万元</w:t>
      </w:r>
      <w:r>
        <w:rPr>
          <w:rFonts w:hint="eastAsia" w:ascii="仿宋_GB2312" w:eastAsia="仿宋_GB2312"/>
          <w:sz w:val="32"/>
          <w:szCs w:val="32"/>
          <w:highlight w:val="none"/>
          <w:lang w:eastAsia="zh-CN"/>
        </w:rPr>
        <w:t>，其中：本年收入合计201.66万元，使用非财政拨款结余0.00万元，年初结转和结余0.00万元。</w:t>
      </w:r>
      <w:r>
        <w:rPr>
          <w:rFonts w:hint="eastAsia" w:ascii="仿宋_GB2312" w:eastAsia="仿宋_GB2312"/>
          <w:sz w:val="32"/>
          <w:szCs w:val="32"/>
          <w:highlight w:val="none"/>
        </w:rPr>
        <w:t>收入总计与上年相比</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增加109.30万元，增长118.34%</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本年度事业单位机构改革，人员合并，</w:t>
      </w:r>
      <w:r>
        <w:rPr>
          <w:rFonts w:hint="eastAsia" w:ascii="仿宋_GB2312" w:eastAsia="仿宋_GB2312"/>
          <w:sz w:val="32"/>
          <w:szCs w:val="32"/>
          <w:highlight w:val="none"/>
        </w:rPr>
        <w:t>人员工资正常晋升，年中追加了项目支出，收入增加。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本年支出总计201.66万元</w:t>
      </w:r>
      <w:r>
        <w:rPr>
          <w:rFonts w:hint="eastAsia" w:ascii="仿宋_GB2312" w:eastAsia="仿宋_GB2312"/>
          <w:sz w:val="32"/>
          <w:szCs w:val="32"/>
          <w:highlight w:val="none"/>
          <w:lang w:eastAsia="zh-CN"/>
        </w:rPr>
        <w:t>，其中：本年支出合计201.66万元，结余分配0.00万元，年末结转和结余0.00万元。</w:t>
      </w:r>
      <w:r>
        <w:rPr>
          <w:rFonts w:hint="eastAsia" w:ascii="仿宋_GB2312" w:eastAsia="仿宋_GB2312"/>
          <w:sz w:val="32"/>
          <w:szCs w:val="32"/>
          <w:highlight w:val="none"/>
        </w:rPr>
        <w:t>支出总计与上年相比</w:t>
      </w:r>
      <w:r>
        <w:rPr>
          <w:rFonts w:hint="eastAsia" w:ascii="仿宋_GB2312" w:eastAsia="仿宋_GB2312"/>
          <w:sz w:val="32"/>
          <w:szCs w:val="32"/>
          <w:highlight w:val="none"/>
          <w:lang w:eastAsia="zh-CN"/>
        </w:rPr>
        <w:t>，增加109.30万元，增长118.34%，主要原因是</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本年度事业单位机构改革，人员合并，</w:t>
      </w:r>
      <w:r>
        <w:rPr>
          <w:rFonts w:hint="eastAsia" w:ascii="仿宋_GB2312" w:eastAsia="仿宋_GB2312"/>
          <w:sz w:val="32"/>
          <w:szCs w:val="32"/>
          <w:highlight w:val="none"/>
        </w:rPr>
        <w:t>人员工资正常晋升，年中追加了项目支出，</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增加。</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10" w:name="_Toc12142"/>
      <w:bookmarkStart w:id="11" w:name="_Toc1979"/>
      <w:r>
        <w:rPr>
          <w:rFonts w:hint="eastAsia" w:ascii="黑体" w:hAnsi="黑体" w:eastAsia="黑体" w:cs="宋体"/>
          <w:kern w:val="0"/>
          <w:sz w:val="32"/>
          <w:szCs w:val="32"/>
          <w:highlight w:val="none"/>
          <w:lang w:eastAsia="zh-CN"/>
        </w:rPr>
        <w:t>二、</w:t>
      </w:r>
      <w:r>
        <w:rPr>
          <w:rFonts w:hint="eastAsia" w:ascii="黑体" w:hAnsi="黑体" w:eastAsia="黑体" w:cs="宋体"/>
          <w:kern w:val="0"/>
          <w:sz w:val="32"/>
          <w:szCs w:val="32"/>
          <w:highlight w:val="none"/>
        </w:rPr>
        <w:t>收入</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收入201.66万元，其中：财政拨款收入201.66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2" w:name="_Toc27961"/>
      <w:bookmarkStart w:id="13" w:name="_Toc13201"/>
      <w:r>
        <w:rPr>
          <w:rFonts w:hint="eastAsia" w:ascii="黑体" w:hAnsi="黑体" w:eastAsia="黑体" w:cs="宋体"/>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本年支出201.66万元，其中：基本支出201.66万元，占100.00%；项目支出0.00万元，占0.00%；上缴上级支出0.00万元，占0.00%；经营支出0.00万元，占0.00%；对附属单位补助支出0.00万元，占0.00%。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4" w:name="_Toc4393"/>
      <w:bookmarkStart w:id="15" w:name="_Toc26564"/>
      <w:r>
        <w:rPr>
          <w:rFonts w:hint="eastAsia" w:ascii="黑体" w:hAnsi="黑体" w:eastAsia="黑体" w:cs="宋体"/>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财政拨款收入总计201.66万元，其中：年初财政拨款结转和结余0.00万元，财政拨款本年收入201.66万元。财政拨款收入总计与上年相比，增加109.30万元，增长118.34%，</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lang w:val="en-US" w:eastAsia="zh-CN"/>
        </w:rPr>
        <w:t>本年度事业单位机构改革，人员合并，</w:t>
      </w:r>
      <w:r>
        <w:rPr>
          <w:rFonts w:hint="eastAsia" w:ascii="仿宋_GB2312" w:eastAsia="仿宋_GB2312"/>
          <w:sz w:val="32"/>
          <w:szCs w:val="32"/>
          <w:highlight w:val="none"/>
        </w:rPr>
        <w:t>人员工资正常晋升，年中追加了项目支出，财政拨款收入增加。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财政拨款支出总计201.66万元，其中：年末财政拨款结转和结余0.00万元，财政拨款本年支出201.66万元。财政拨款支出总计与上年相比，增加109.30万元，增长118.34%，</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lang w:val="en-US" w:eastAsia="zh-CN"/>
        </w:rPr>
        <w:t>本年度事业单位机构改革，人员合并，</w:t>
      </w:r>
      <w:r>
        <w:rPr>
          <w:rFonts w:hint="eastAsia" w:ascii="仿宋_GB2312" w:eastAsia="仿宋_GB2312"/>
          <w:sz w:val="32"/>
          <w:szCs w:val="32"/>
          <w:highlight w:val="none"/>
        </w:rPr>
        <w:t>人员工资正常晋升，年中追加了项目支出，财政拨款</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与年初预算数相比情况：财政拨款收入总计年初预算数177.05万元，决算数201.66万元，预决算差异率13.90%，</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本年度年中追加了项目支出，</w:t>
      </w:r>
      <w:r>
        <w:rPr>
          <w:rFonts w:hint="eastAsia" w:ascii="仿宋_GB2312" w:eastAsia="仿宋_GB2312"/>
          <w:sz w:val="32"/>
          <w:szCs w:val="32"/>
          <w:highlight w:val="none"/>
          <w:lang w:eastAsia="zh-CN"/>
        </w:rPr>
        <w:t>收入增加，</w:t>
      </w:r>
      <w:r>
        <w:rPr>
          <w:rFonts w:hint="eastAsia" w:ascii="仿宋_GB2312" w:eastAsia="仿宋_GB2312"/>
          <w:sz w:val="32"/>
          <w:szCs w:val="32"/>
          <w:highlight w:val="none"/>
        </w:rPr>
        <w:t>产生预决算差异。财政拨款支出总计年初预算数177.05万元，决算数201.66万元，预决算差异率13.90%，</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本年度年中追加了项目支出，产生预决算差异。</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6" w:name="_Toc20360"/>
      <w:bookmarkStart w:id="17" w:name="_Toc13833"/>
      <w:r>
        <w:rPr>
          <w:rFonts w:hint="eastAsia" w:ascii="黑体" w:hAnsi="黑体" w:eastAsia="黑体" w:cs="宋体"/>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（一）一般公共预算财政拨款支出决算总体情况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一般公共预算财政拨款支出201.66万元，占本年支出合计的100.00%，与上年相比，增加109.30万元，增长118.34%，主要原因是：</w:t>
      </w:r>
      <w:r>
        <w:rPr>
          <w:rFonts w:hint="eastAsia" w:ascii="仿宋_GB2312" w:eastAsia="仿宋_GB2312"/>
          <w:sz w:val="32"/>
          <w:szCs w:val="32"/>
          <w:highlight w:val="none"/>
          <w:lang w:val="en-US" w:eastAsia="zh-CN"/>
        </w:rPr>
        <w:t>本年度事业单位机构改革，人员合并，</w:t>
      </w:r>
      <w:r>
        <w:rPr>
          <w:rFonts w:hint="eastAsia" w:ascii="仿宋_GB2312" w:eastAsia="仿宋_GB2312"/>
          <w:sz w:val="32"/>
          <w:szCs w:val="32"/>
          <w:highlight w:val="none"/>
        </w:rPr>
        <w:t>人员工资正常晋升，年中追加了项目支出，一般公共预算财政拨款支出增加。</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（二）一般公共预算财政拨款支出决算结构情况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1.一般公共服务支出（类）160.39万元，占79.54%。</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2.社会保障和就业支出（类）19.28万元，占9.56%。</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3.卫生健康支出（类）7.57万元，占3.75%。</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4.住房保障支出（类）14.42万元，占7.15%。</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（三）一般公共预算财政拨款支出决算具体情况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一般公共服务支出（类）财政事务（款）事业运行（项）：支出决算数为160.39万元，比上年决算增加91.18万元，增长131.74%，主要原因是：本年度事业单位机构改革，人员合并，工资正常晋升，津贴与基本工资普调，人员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社会保障和就业支出（类）行政事业单位养老支出（款）事业单位离退休（项）：支出决算数为3.68万元，比上年决算增加1.69万元，增长84.92%，主要原因是：本年度事业单位机构改革，人员合并，退休人员工资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社会保障和就业支出（类）行政事业单位养老支出（款）机关事业单位基本养老保险缴费支出（项）：支出决算数为15.60万元，比上年决算增加6.36万元，增长68.83%，主要原因是：在职人员基本养老保险缴费基数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卫生健康支出（类）行政事业单位医疗（款）事业单位医疗（项）：支出决算数为7.57万元，比上年决算增加2.3万元，增长43.64%，主要原因是：本年度事业单位机构改革，人员合并，上级安排“关于疫情防控应急补助资金”支付疫情经费。</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5.住房保障支出（类）住房改革支出（款）住房公积金（项）：支出决算数为14.42万元，比上年决算增加7.76万元，增长116.52%，主要原因是：本年度事业单位机构改革，人员合并，在职人员工资增加，住房公积金基数增加。</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8" w:name="_Toc11146"/>
      <w:bookmarkStart w:id="19" w:name="_Toc30870"/>
      <w:r>
        <w:rPr>
          <w:rFonts w:hint="eastAsia" w:ascii="黑体" w:hAnsi="黑体" w:eastAsia="黑体" w:cs="宋体"/>
          <w:kern w:val="0"/>
          <w:sz w:val="32"/>
          <w:szCs w:val="32"/>
          <w:highlight w:val="none"/>
          <w:lang w:eastAsia="zh-CN"/>
        </w:rPr>
        <w:t>六、一般公共预算财政拨款基本支出决算情况说明</w:t>
      </w:r>
      <w:bookmarkEnd w:id="18"/>
      <w:bookmarkEnd w:id="1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2022年度一般公共预算财政拨款基本支出201.66万元，其中：</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人员经费192.42万元，包括：基本工资、津贴补贴、奖金、绩效工资、机关事业单位基本养老保险缴费、职工基本医疗保险缴费、其他社会保障缴费、住房公积金、退休费、医疗费补助、奖励金。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公用经费9.24万元，包括：劳务费。</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0" w:name="_Toc21518"/>
      <w:bookmarkStart w:id="21" w:name="_Toc7190"/>
      <w:r>
        <w:rPr>
          <w:rFonts w:hint="eastAsia" w:ascii="黑体" w:hAnsi="黑体" w:eastAsia="黑体" w:cs="宋体"/>
          <w:kern w:val="0"/>
          <w:sz w:val="32"/>
          <w:szCs w:val="32"/>
          <w:highlight w:val="none"/>
          <w:lang w:eastAsia="zh-CN"/>
        </w:rPr>
        <w:t>七</w:t>
      </w:r>
      <w:r>
        <w:rPr>
          <w:rFonts w:hint="eastAsia" w:ascii="黑体" w:hAnsi="黑体" w:eastAsia="黑体" w:cs="宋体"/>
          <w:kern w:val="0"/>
          <w:sz w:val="32"/>
          <w:szCs w:val="32"/>
          <w:highlight w:val="none"/>
        </w:rPr>
        <w:t>、</w:t>
      </w:r>
      <w:r>
        <w:rPr>
          <w:rFonts w:hint="eastAsia" w:ascii="黑体" w:hAnsi="黑体" w:eastAsia="黑体" w:cs="宋体"/>
          <w:kern w:val="0"/>
          <w:sz w:val="32"/>
          <w:szCs w:val="32"/>
          <w:highlight w:val="none"/>
          <w:lang w:eastAsia="zh-CN"/>
        </w:rPr>
        <w:t>财政拨款</w:t>
      </w:r>
      <w:r>
        <w:rPr>
          <w:rFonts w:hint="eastAsia" w:ascii="黑体" w:hAnsi="黑体" w:eastAsia="黑体" w:cs="宋体"/>
          <w:kern w:val="0"/>
          <w:sz w:val="32"/>
          <w:szCs w:val="32"/>
          <w:highlight w:val="none"/>
        </w:rPr>
        <w:t>“三公”经费支出</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w:t>
      </w:r>
      <w:r>
        <w:rPr>
          <w:rFonts w:hint="eastAsia" w:ascii="黑体" w:hAnsi="黑体" w:eastAsia="黑体" w:cs="宋体"/>
          <w:kern w:val="0"/>
          <w:sz w:val="32"/>
          <w:szCs w:val="32"/>
          <w:highlight w:val="none"/>
          <w:lang w:eastAsia="zh-CN"/>
        </w:rPr>
        <w:t>说明</w:t>
      </w:r>
      <w:bookmarkEnd w:id="20"/>
      <w:bookmarkEnd w:id="2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财政拨款“三公”经费支出决算0.00万元，比上年增加0.00万元，增长0.00%，主要原因是：</w:t>
      </w:r>
      <w:r>
        <w:rPr>
          <w:rFonts w:hint="eastAsia" w:ascii="仿宋_GB2312" w:eastAsia="仿宋_GB2312"/>
          <w:sz w:val="32"/>
          <w:szCs w:val="32"/>
          <w:highlight w:val="none"/>
          <w:lang w:eastAsia="zh-CN"/>
        </w:rPr>
        <w:t>我单位无</w:t>
      </w:r>
      <w:r>
        <w:rPr>
          <w:rFonts w:hint="eastAsia" w:ascii="仿宋_GB2312" w:eastAsia="仿宋_GB2312"/>
          <w:sz w:val="32"/>
          <w:szCs w:val="32"/>
          <w:highlight w:val="none"/>
        </w:rPr>
        <w:t>财政拨款“三公”经费支出。其中：因公出国（境）费支出0.00万元，占0.00%，比上年增加0.00万元，增长0.00%，主要原因是：我单位无因公出国（境）费支出；公务用车购置及运行维护费支出0.00万元，占0.00%，比上年增加0.00万元，增长0.00%，主要原因是：我单位无公务用车购置及运行维护费支出；公务接待费支出0.00万元，占0.00%，比上年增加0.00万元，增长0.00%，主要原因是：我单位无公务接待费支出。具体情况如下：</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因公出国（境）费支出0.00万元，开支内容包括我单位无因公出国（境）费支出。单位全年安排的因公出国（境）团组0个，因公出国（境）0人次。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用车购置及运行维护费0.00万元，其中：公务用车购置费0.00万元，公务用车运行维护费0.00万元。公务用车运行维护费开支内容包括我单位无公务用车运行维护费开支。公务用车购置数0辆，公务用车保有量0辆。</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公务接待费0.00万元，开支内容包括我单位无公务接待费。单位全年安排的国内公务接待0批次，0人次。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与全年预算数相比情况：“三公”经费支出全年预算数0.00万元，决算数0.00万元，预决算差异率0.00%，主要原因是：我单位未安排</w:t>
      </w:r>
      <w:r>
        <w:rPr>
          <w:rFonts w:hint="eastAsia" w:ascii="仿宋_GB2312" w:eastAsia="仿宋_GB2312"/>
          <w:sz w:val="32"/>
          <w:szCs w:val="32"/>
          <w:highlight w:val="none"/>
          <w:lang w:val="en-US" w:eastAsia="zh-CN"/>
        </w:rPr>
        <w:t>财政拨款</w:t>
      </w:r>
      <w:r>
        <w:rPr>
          <w:rFonts w:hint="eastAsia" w:ascii="仿宋_GB2312" w:eastAsia="仿宋_GB2312"/>
          <w:sz w:val="32"/>
          <w:szCs w:val="32"/>
          <w:highlight w:val="none"/>
        </w:rPr>
        <w:t>“三公”经费支出，预决算无差异。</w:t>
      </w:r>
      <w:r>
        <w:rPr>
          <w:rFonts w:hint="eastAsia" w:ascii="仿宋_GB2312" w:eastAsia="仿宋_GB2312"/>
          <w:sz w:val="32"/>
          <w:szCs w:val="32"/>
          <w:highlight w:val="none"/>
          <w:lang w:eastAsia="zh-CN"/>
        </w:rPr>
        <w:t>其中：因公出国（境）费全年预算数0.00万元，决算数0.00万元，预决算差异率0.00%，主要原因是：我单位未安排因公出国（境）费支出，预决算无差异；</w:t>
      </w:r>
      <w:r>
        <w:rPr>
          <w:rFonts w:hint="eastAsia" w:ascii="仿宋_GB2312" w:eastAsia="仿宋_GB2312"/>
          <w:sz w:val="32"/>
          <w:szCs w:val="32"/>
          <w:highlight w:val="none"/>
        </w:rPr>
        <w:t>公务用车购置费全年预算数0.00万元，决算数0.00万元，预决算差异率0.00%，主要原因是：我单位未安排公务用车购置费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，预决算无差异；</w:t>
      </w:r>
      <w:r>
        <w:rPr>
          <w:rFonts w:hint="eastAsia" w:ascii="仿宋_GB2312" w:hAnsi="宋体" w:eastAsia="仿宋_GB2312" w:cs="宋体"/>
          <w:kern w:val="0"/>
          <w:sz w:val="32"/>
          <w:szCs w:val="32"/>
          <w:highlight w:val="none"/>
        </w:rPr>
        <w:t>公务用车运行费全年预算数0.00万元，决算数0.00万元，预决算差异率0.00%，主要原因是：我单位未安排公务用车运行费</w:t>
      </w:r>
      <w:r>
        <w:rPr>
          <w:rFonts w:hint="eastAsia" w:ascii="仿宋_GB2312" w:hAnsi="宋体" w:eastAsia="仿宋_GB2312" w:cs="宋体"/>
          <w:kern w:val="0"/>
          <w:sz w:val="32"/>
          <w:szCs w:val="32"/>
          <w:highlight w:val="none"/>
          <w:lang w:eastAsia="zh-CN"/>
        </w:rPr>
        <w:t>支出</w:t>
      </w:r>
      <w:r>
        <w:rPr>
          <w:rFonts w:hint="eastAsia" w:ascii="仿宋_GB2312" w:hAnsi="宋体" w:eastAsia="仿宋_GB2312" w:cs="宋体"/>
          <w:kern w:val="0"/>
          <w:sz w:val="32"/>
          <w:szCs w:val="32"/>
          <w:highlight w:val="none"/>
        </w:rPr>
        <w:t>，预决算无差异；</w:t>
      </w:r>
      <w:r>
        <w:rPr>
          <w:rFonts w:hint="eastAsia" w:ascii="仿宋_GB2312" w:eastAsia="仿宋_GB2312"/>
          <w:sz w:val="32"/>
          <w:szCs w:val="32"/>
          <w:highlight w:val="none"/>
        </w:rPr>
        <w:t>公务接待费全年预算数0.00万元，决算数0.00万元，预决算差异率0.00%，主要原因是：我单位未安排公务接待费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，预决算无差异。</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2" w:name="_Toc5810"/>
      <w:bookmarkStart w:id="23" w:name="_Toc7927"/>
      <w:r>
        <w:rPr>
          <w:rFonts w:hint="eastAsia" w:ascii="黑体" w:hAnsi="黑体" w:eastAsia="黑体" w:cs="宋体"/>
          <w:kern w:val="0"/>
          <w:sz w:val="32"/>
          <w:szCs w:val="32"/>
          <w:highlight w:val="none"/>
          <w:lang w:eastAsia="zh-CN"/>
        </w:rPr>
        <w:t>八、政府性基金预算财政拨款收入支出决算情况说明</w:t>
      </w:r>
      <w:bookmarkEnd w:id="22"/>
      <w:bookmarkEnd w:id="23"/>
    </w:p>
    <w:p>
      <w:pPr>
        <w:keepNext w:val="0"/>
        <w:keepLines w:val="0"/>
        <w:pageBreakBefore w:val="0"/>
        <w:widowControl w:val="0"/>
        <w:numPr>
          <w:ilvl w:val="0"/>
          <w:numId w:val="0"/>
        </w:numPr>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我单位本年度无政府性基金预算财政拨款收入、支出及结转和结余，</w:t>
      </w:r>
      <w:r>
        <w:rPr>
          <w:rFonts w:hint="eastAsia" w:ascii="仿宋_GB2312" w:eastAsia="仿宋_GB2312"/>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九、国有资本经营预算财政拨款收入支出决算情况说明</w:t>
      </w:r>
    </w:p>
    <w:p>
      <w:pPr>
        <w:keepNext w:val="0"/>
        <w:keepLines w:val="0"/>
        <w:pageBreakBefore w:val="0"/>
        <w:widowControl w:val="0"/>
        <w:numPr>
          <w:ilvl w:val="0"/>
          <w:numId w:val="0"/>
        </w:numPr>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我单位本年度无国有资本经营预算财政拨款收入、支出及结转和结余，</w:t>
      </w:r>
      <w:r>
        <w:rPr>
          <w:rFonts w:hint="eastAsia" w:ascii="仿宋_GB2312" w:eastAsia="仿宋_GB2312"/>
          <w:sz w:val="32"/>
          <w:szCs w:val="32"/>
          <w:highlight w:val="none"/>
        </w:rPr>
        <w:t>国有资本经营预算财政拨款收入支出决算表为空表。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4" w:name="_Toc7314"/>
      <w:bookmarkStart w:id="25" w:name="_Toc1235"/>
      <w:r>
        <w:rPr>
          <w:rFonts w:hint="eastAsia" w:ascii="黑体" w:hAnsi="黑体" w:eastAsia="黑体" w:cs="宋体"/>
          <w:kern w:val="0"/>
          <w:sz w:val="32"/>
          <w:szCs w:val="32"/>
          <w:highlight w:val="none"/>
          <w:lang w:eastAsia="zh-CN"/>
        </w:rPr>
        <w:t>十</w:t>
      </w:r>
      <w:r>
        <w:rPr>
          <w:rFonts w:hint="eastAsia" w:ascii="黑体" w:hAnsi="黑体" w:eastAsia="黑体" w:cs="宋体"/>
          <w:kern w:val="0"/>
          <w:sz w:val="32"/>
          <w:szCs w:val="32"/>
          <w:highlight w:val="none"/>
        </w:rPr>
        <w:t>、其他重要事项的情况</w:t>
      </w:r>
      <w:r>
        <w:rPr>
          <w:rFonts w:hint="eastAsia" w:ascii="黑体" w:hAnsi="黑体" w:eastAsia="黑体" w:cs="宋体"/>
          <w:kern w:val="0"/>
          <w:sz w:val="32"/>
          <w:szCs w:val="32"/>
          <w:highlight w:val="none"/>
          <w:lang w:eastAsia="zh-CN"/>
        </w:rPr>
        <w:t>说明</w:t>
      </w:r>
      <w:bookmarkEnd w:id="24"/>
      <w:bookmarkEnd w:id="2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26" w:name="_Toc14519"/>
      <w:bookmarkStart w:id="27" w:name="_Toc13105"/>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26"/>
      <w:bookmarkEnd w:id="27"/>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新疆塔城地区额敏县喀拉也木勒镇农村合作经济（统计）发展中心（财政所）（事业单位）公用经费9.24万元，比上年增加9.24万元，增长100%，主要原因是：本年度事业单位机构改革，单位合并，公用经费支出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8" w:name="_Toc227"/>
      <w:bookmarkStart w:id="29" w:name="_Toc26704"/>
      <w:r>
        <w:rPr>
          <w:rFonts w:hint="eastAsia" w:ascii="黑体" w:hAnsi="黑体" w:eastAsia="黑体"/>
          <w:sz w:val="32"/>
          <w:szCs w:val="32"/>
          <w:highlight w:val="none"/>
          <w:lang w:eastAsia="zh-CN"/>
        </w:rPr>
        <w:t>（二）政府采购情况</w:t>
      </w:r>
      <w:bookmarkEnd w:id="28"/>
      <w:bookmarkEnd w:id="2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w:t>
      </w:r>
      <w:r>
        <w:rPr>
          <w:rFonts w:hint="eastAsia" w:ascii="仿宋_GB2312" w:eastAsia="仿宋_GB2312"/>
          <w:sz w:val="32"/>
          <w:szCs w:val="32"/>
          <w:highlight w:val="none"/>
          <w:lang w:eastAsia="zh-CN"/>
        </w:rPr>
        <w:t>0.00</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0.00</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，其中：授予小微企业合同金额</w:t>
      </w:r>
      <w:r>
        <w:rPr>
          <w:rFonts w:hint="eastAsia" w:ascii="仿宋_GB2312" w:eastAsia="仿宋_GB2312"/>
          <w:sz w:val="32"/>
          <w:szCs w:val="32"/>
          <w:highlight w:val="none"/>
          <w:lang w:eastAsia="zh-CN"/>
        </w:rPr>
        <w:t>0.00</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0.00</w:t>
      </w:r>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0" w:name="_Toc4591"/>
      <w:bookmarkStart w:id="31" w:name="_Toc8391"/>
      <w:r>
        <w:rPr>
          <w:rFonts w:hint="eastAsia" w:ascii="黑体" w:hAnsi="黑体" w:eastAsia="黑体"/>
          <w:sz w:val="32"/>
          <w:szCs w:val="32"/>
          <w:highlight w:val="none"/>
          <w:lang w:eastAsia="zh-CN"/>
        </w:rPr>
        <w:t>（三）国有资产占用情况说明</w:t>
      </w:r>
      <w:bookmarkEnd w:id="30"/>
      <w:bookmarkEnd w:id="3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截止2022年12月31日，固定资产原值11.21万元，房屋120.00平方米，价值3.00万元。车辆0辆，价值0.00万元，其中：副部（省）级及以上领导用车0辆、主要领导干部用车0辆、机要通信用车0辆、应急保障用车0辆、执法执勤用车0辆、特种专业技术用车0辆、离退休干部用车0辆、其他用车0辆，其他用车主要是：</w:t>
      </w:r>
      <w:r>
        <w:rPr>
          <w:rFonts w:hint="eastAsia" w:ascii="仿宋_GB2312" w:eastAsia="仿宋_GB2312"/>
          <w:sz w:val="32"/>
          <w:szCs w:val="32"/>
          <w:highlight w:val="none"/>
          <w:lang w:val="en-US" w:eastAsia="zh-CN"/>
        </w:rPr>
        <w:t>我单位无其他用车</w:t>
      </w:r>
      <w:r>
        <w:rPr>
          <w:rFonts w:hint="eastAsia" w:ascii="仿宋_GB2312" w:eastAsia="仿宋_GB2312"/>
          <w:sz w:val="32"/>
          <w:szCs w:val="32"/>
          <w:highlight w:val="none"/>
          <w:lang w:eastAsia="zh-CN"/>
        </w:rPr>
        <w:t>；单价100万元（含）以上设备（不含车辆）0台（套）。</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32" w:name="_Toc435"/>
      <w:bookmarkStart w:id="33" w:name="_Toc11283"/>
      <w:r>
        <w:rPr>
          <w:rFonts w:hint="eastAsia" w:ascii="黑体" w:hAnsi="黑体" w:eastAsia="黑体" w:cs="宋体"/>
          <w:kern w:val="0"/>
          <w:sz w:val="32"/>
          <w:szCs w:val="32"/>
          <w:highlight w:val="none"/>
          <w:lang w:eastAsia="zh-CN"/>
        </w:rPr>
        <w:t>十一、预算绩效的情况说明</w:t>
      </w:r>
      <w:bookmarkEnd w:id="32"/>
      <w:bookmarkEnd w:id="33"/>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根据预算绩效管理要求，我单位2022年度开展预算绩效评价项目0个，全年预算数0.00万元，全年执行数0.00万元。预算绩效管理取得的成效：我单位无预算绩效评价项目。发现的问题及原因：我单位无预算绩效评价项目。下一步改进措施：我单位无预算绩效评价项目</w:t>
      </w:r>
      <w:bookmarkStart w:id="54" w:name="_GoBack"/>
      <w:bookmarkEnd w:id="54"/>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4" w:name="_Toc3250"/>
      <w:bookmarkStart w:id="35" w:name="_Toc24143"/>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第三部分 专业名词解释</w:t>
      </w:r>
      <w:bookmarkEnd w:id="34"/>
      <w:bookmarkEnd w:id="35"/>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机关运行经费：行政单位和参照公务员法管理的事业单位财政拨款基本支出中的公用经费支出。</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6" w:name="_Toc28903"/>
      <w:bookmarkStart w:id="37" w:name="_Toc22784"/>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第四部分 部门决算报表（见附表）</w:t>
      </w:r>
      <w:bookmarkEnd w:id="36"/>
      <w:bookmarkEnd w:id="3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38" w:name="_Toc2183"/>
      <w:bookmarkStart w:id="39" w:name="_Toc6062"/>
      <w:r>
        <w:rPr>
          <w:rFonts w:hint="eastAsia" w:ascii="黑体" w:hAnsi="黑体" w:eastAsia="黑体" w:cs="宋体"/>
          <w:kern w:val="0"/>
          <w:sz w:val="32"/>
          <w:szCs w:val="32"/>
          <w:highlight w:val="none"/>
        </w:rPr>
        <w:t>一、《收入支出决算总表》</w:t>
      </w:r>
      <w:bookmarkEnd w:id="38"/>
      <w:bookmarkEnd w:id="3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0" w:name="_Toc24532"/>
      <w:bookmarkStart w:id="41" w:name="_Toc30364"/>
      <w:r>
        <w:rPr>
          <w:rFonts w:hint="eastAsia" w:ascii="黑体" w:hAnsi="黑体" w:eastAsia="黑体" w:cs="宋体"/>
          <w:kern w:val="0"/>
          <w:sz w:val="32"/>
          <w:szCs w:val="32"/>
          <w:highlight w:val="none"/>
        </w:rPr>
        <w:t>二、《收入决算表》</w:t>
      </w:r>
      <w:bookmarkEnd w:id="40"/>
      <w:bookmarkEnd w:id="4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2" w:name="_Toc21304"/>
      <w:bookmarkStart w:id="43" w:name="_Toc32434"/>
      <w:r>
        <w:rPr>
          <w:rFonts w:hint="eastAsia" w:ascii="黑体" w:hAnsi="黑体" w:eastAsia="黑体" w:cs="宋体"/>
          <w:kern w:val="0"/>
          <w:sz w:val="32"/>
          <w:szCs w:val="32"/>
          <w:highlight w:val="none"/>
        </w:rPr>
        <w:t>三、《支出决算表》</w:t>
      </w:r>
      <w:bookmarkEnd w:id="42"/>
      <w:bookmarkEnd w:id="4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4" w:name="_Toc28786"/>
      <w:bookmarkStart w:id="45" w:name="_Toc14238"/>
      <w:r>
        <w:rPr>
          <w:rFonts w:hint="eastAsia" w:ascii="黑体" w:hAnsi="黑体" w:eastAsia="黑体" w:cs="宋体"/>
          <w:kern w:val="0"/>
          <w:sz w:val="32"/>
          <w:szCs w:val="32"/>
          <w:highlight w:val="none"/>
        </w:rPr>
        <w:t>四、《财政拨款收入支出决算总表》</w:t>
      </w:r>
      <w:bookmarkEnd w:id="44"/>
      <w:bookmarkEnd w:id="45"/>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6" w:name="_Toc10347"/>
      <w:bookmarkStart w:id="47" w:name="_Toc14869"/>
      <w:r>
        <w:rPr>
          <w:rFonts w:hint="eastAsia" w:ascii="黑体" w:hAnsi="黑体" w:eastAsia="黑体" w:cs="宋体"/>
          <w:kern w:val="0"/>
          <w:sz w:val="32"/>
          <w:szCs w:val="32"/>
          <w:highlight w:val="none"/>
        </w:rPr>
        <w:t>五、《一般公共预算财政拨款支出决算表》</w:t>
      </w:r>
      <w:bookmarkEnd w:id="46"/>
      <w:bookmarkEnd w:id="4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8" w:name="_Toc5626"/>
      <w:bookmarkStart w:id="49" w:name="_Toc8884"/>
      <w:r>
        <w:rPr>
          <w:rFonts w:hint="eastAsia" w:ascii="黑体" w:hAnsi="黑体" w:eastAsia="黑体" w:cs="宋体"/>
          <w:kern w:val="0"/>
          <w:sz w:val="32"/>
          <w:szCs w:val="32"/>
          <w:highlight w:val="none"/>
        </w:rPr>
        <w:t>六、《一般公共预算财政拨款基本支出决算表》</w:t>
      </w:r>
      <w:bookmarkEnd w:id="48"/>
      <w:bookmarkEnd w:id="4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50" w:name="_Toc29106"/>
      <w:bookmarkStart w:id="51" w:name="_Toc32663"/>
      <w:r>
        <w:rPr>
          <w:rFonts w:hint="eastAsia" w:ascii="黑体" w:hAnsi="黑体" w:eastAsia="黑体" w:cs="宋体"/>
          <w:kern w:val="0"/>
          <w:sz w:val="32"/>
          <w:szCs w:val="32"/>
          <w:highlight w:val="none"/>
        </w:rPr>
        <w:t>七、《财政拨款“三公”经费支出决算表》</w:t>
      </w:r>
      <w:bookmarkEnd w:id="50"/>
      <w:bookmarkEnd w:id="5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52" w:name="_Toc7643"/>
      <w:bookmarkStart w:id="53" w:name="_Toc5453"/>
      <w:r>
        <w:rPr>
          <w:rFonts w:hint="eastAsia" w:ascii="黑体" w:hAnsi="黑体" w:eastAsia="黑体" w:cs="宋体"/>
          <w:kern w:val="0"/>
          <w:sz w:val="32"/>
          <w:szCs w:val="32"/>
          <w:highlight w:val="none"/>
        </w:rPr>
        <w:t>八、《政府性基金预算财政拨款收入支出决算表》</w:t>
      </w:r>
      <w:bookmarkEnd w:id="52"/>
      <w:bookmarkEnd w:id="5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rPr>
        <w:t>九、《国有资本经营预算财政拨款收入支出决算表》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00"/>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153"/>
        <w:tab w:val="right"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zZmRjNGE1MWFhMmQ5YTI4N2U2NGVhNTI5YmQ5NzAifQ=="/>
  </w:docVars>
  <w:rsids>
    <w:rsidRoot w:val="00000000"/>
    <w:rsid w:val="037D7F01"/>
    <w:rsid w:val="03B00D3E"/>
    <w:rsid w:val="11C76B4A"/>
    <w:rsid w:val="2CEA0479"/>
    <w:rsid w:val="3A161E4D"/>
    <w:rsid w:val="4EF67379"/>
    <w:rsid w:val="532F73C8"/>
    <w:rsid w:val="58EB33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default" w:ascii="Times New Roman" w:hAnsi="Times New Roman" w:eastAsia="宋体" w:cs="Times New Roman"/>
      <w:kern w:val="2"/>
      <w:sz w:val="21"/>
      <w:szCs w:val="24"/>
      <w:lang w:val="en-US" w:eastAsia="zh-CN"/>
    </w:rPr>
  </w:style>
  <w:style w:type="character" w:default="1" w:styleId="9">
    <w:name w:val="Default Paragraph Font"/>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snapToGrid w:val="0"/>
      <w:jc w:val="left"/>
    </w:pPr>
    <w:rPr>
      <w:sz w:val="18"/>
    </w:rPr>
  </w:style>
  <w:style w:type="paragraph" w:styleId="5">
    <w:name w:val="header"/>
    <w:basedOn w:val="1"/>
    <w:qFormat/>
    <w:uiPriority w:val="0"/>
    <w:pPr>
      <w:pBdr>
        <w:top w:val="none" w:color="auto" w:sz="0" w:space="0"/>
        <w:left w:val="none" w:color="auto" w:sz="0" w:space="0"/>
        <w:bottom w:val="none" w:color="auto" w:sz="0" w:space="0"/>
        <w:right w:val="none" w:color="auto" w:sz="0" w:space="0"/>
      </w:pBdr>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sz w:val="20"/>
      <w:szCs w:val="20"/>
    </w:rPr>
  </w:style>
  <w:style w:type="paragraph" w:customStyle="1" w:styleId="11">
    <w:name w:val="WPSOffice手动目录 2"/>
    <w:qFormat/>
    <w:uiPriority w:val="0"/>
    <w:pPr>
      <w:ind w:left="200"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15</Pages>
  <Words>5118</Words>
  <Characters>5701</Characters>
  <Lines>0</Lines>
  <Paragraphs>0</Paragraphs>
  <TotalTime>0</TotalTime>
  <ScaleCrop>false</ScaleCrop>
  <LinksUpToDate>false</LinksUpToDate>
  <CharactersWithSpaces>5719</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琪琪妈妈</cp:lastModifiedBy>
  <dcterms:modified xsi:type="dcterms:W3CDTF">2024-06-25T14:37:53Z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173E471D73664EBC8856839D24F36266_13</vt:lpwstr>
  </property>
</Properties>
</file>