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spacing w:line="360" w:lineRule="auto"/>
        <w:jc w:val="both"/>
        <w:rPr>
          <w:b/>
          <w:sz w:val="44"/>
          <w:szCs w:val="44"/>
        </w:rPr>
      </w:pPr>
      <w:bookmarkStart w:id="2" w:name="_GoBack"/>
      <w:bookmarkEnd w:id="2"/>
    </w:p>
    <w:p>
      <w:pPr>
        <w:pStyle w:val="7"/>
        <w:spacing w:line="360" w:lineRule="auto"/>
        <w:jc w:val="center"/>
        <w:rPr>
          <w:b/>
          <w:sz w:val="44"/>
          <w:szCs w:val="44"/>
        </w:rPr>
      </w:pPr>
    </w:p>
    <w:p>
      <w:pPr>
        <w:pStyle w:val="7"/>
        <w:keepNext w:val="0"/>
        <w:keepLines w:val="0"/>
        <w:pageBreakBefore w:val="0"/>
        <w:widowControl w:val="0"/>
        <w:kinsoku/>
        <w:wordWrap/>
        <w:overflowPunct/>
        <w:topLinePunct w:val="0"/>
        <w:autoSpaceDE/>
        <w:autoSpaceDN/>
        <w:bidi w:val="0"/>
        <w:adjustRightInd/>
        <w:snapToGrid w:val="0"/>
        <w:spacing w:line="600" w:lineRule="exact"/>
        <w:jc w:val="center"/>
        <w:textAlignment w:val="auto"/>
        <w:rPr>
          <w:rFonts w:hint="eastAsia" w:ascii="方正小标宋简体" w:hAnsi="方正小标宋简体" w:eastAsia="方正小标宋简体" w:cs="方正小标宋简体"/>
          <w:b w:val="0"/>
          <w:bCs/>
          <w:sz w:val="44"/>
          <w:szCs w:val="44"/>
          <w:lang w:val="en-US" w:eastAsia="zh-CN"/>
        </w:rPr>
      </w:pPr>
      <w:r>
        <w:rPr>
          <w:rFonts w:hint="eastAsia" w:ascii="方正小标宋简体" w:hAnsi="方正小标宋简体" w:eastAsia="方正小标宋简体" w:cs="方正小标宋简体"/>
          <w:b w:val="0"/>
          <w:bCs/>
          <w:sz w:val="44"/>
          <w:szCs w:val="44"/>
          <w:lang w:eastAsia="zh-CN"/>
        </w:rPr>
        <w:t>额敏县</w:t>
      </w:r>
      <w:r>
        <w:rPr>
          <w:rFonts w:hint="eastAsia" w:ascii="方正小标宋简体" w:hAnsi="方正小标宋简体" w:eastAsia="方正小标宋简体" w:cs="方正小标宋简体"/>
          <w:b w:val="0"/>
          <w:bCs/>
          <w:sz w:val="44"/>
          <w:szCs w:val="44"/>
          <w:lang w:val="en-US" w:eastAsia="zh-CN"/>
        </w:rPr>
        <w:t>上户镇</w:t>
      </w:r>
      <w:r>
        <w:rPr>
          <w:rFonts w:hint="eastAsia" w:ascii="方正小标宋简体" w:hAnsi="方正小标宋简体" w:eastAsia="方正小标宋简体" w:cs="方正小标宋简体"/>
          <w:b w:val="0"/>
          <w:bCs/>
          <w:sz w:val="44"/>
          <w:szCs w:val="44"/>
        </w:rPr>
        <w:t>202</w:t>
      </w:r>
      <w:r>
        <w:rPr>
          <w:rFonts w:hint="eastAsia" w:ascii="方正小标宋简体" w:hAnsi="方正小标宋简体" w:eastAsia="方正小标宋简体" w:cs="方正小标宋简体"/>
          <w:b w:val="0"/>
          <w:bCs/>
          <w:sz w:val="44"/>
          <w:szCs w:val="44"/>
          <w:lang w:val="en-US" w:eastAsia="zh-CN"/>
        </w:rPr>
        <w:t>2</w:t>
      </w:r>
      <w:r>
        <w:rPr>
          <w:rFonts w:hint="eastAsia" w:ascii="方正小标宋简体" w:hAnsi="方正小标宋简体" w:eastAsia="方正小标宋简体" w:cs="方正小标宋简体"/>
          <w:b w:val="0"/>
          <w:bCs/>
          <w:sz w:val="44"/>
          <w:szCs w:val="44"/>
        </w:rPr>
        <w:t>年财政</w:t>
      </w:r>
      <w:r>
        <w:rPr>
          <w:rFonts w:hint="eastAsia" w:ascii="方正小标宋简体" w:hAnsi="方正小标宋简体" w:eastAsia="方正小标宋简体" w:cs="方正小标宋简体"/>
          <w:b w:val="0"/>
          <w:bCs/>
          <w:sz w:val="44"/>
          <w:szCs w:val="44"/>
          <w:lang w:val="en-US" w:eastAsia="zh-CN"/>
        </w:rPr>
        <w:t>衔接推进乡村</w:t>
      </w:r>
    </w:p>
    <w:p>
      <w:pPr>
        <w:pStyle w:val="7"/>
        <w:keepNext w:val="0"/>
        <w:keepLines w:val="0"/>
        <w:pageBreakBefore w:val="0"/>
        <w:widowControl w:val="0"/>
        <w:kinsoku/>
        <w:wordWrap/>
        <w:overflowPunct/>
        <w:topLinePunct w:val="0"/>
        <w:autoSpaceDE/>
        <w:autoSpaceDN/>
        <w:bidi w:val="0"/>
        <w:adjustRightInd/>
        <w:snapToGrid w:val="0"/>
        <w:spacing w:line="60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lang w:val="en-US" w:eastAsia="zh-CN"/>
        </w:rPr>
        <w:t>振兴补助</w:t>
      </w:r>
      <w:r>
        <w:rPr>
          <w:rFonts w:hint="eastAsia" w:ascii="方正小标宋简体" w:hAnsi="方正小标宋简体" w:eastAsia="方正小标宋简体" w:cs="方正小标宋简体"/>
          <w:b w:val="0"/>
          <w:bCs/>
          <w:sz w:val="44"/>
          <w:szCs w:val="44"/>
        </w:rPr>
        <w:t>资金绩效自评总结报告</w:t>
      </w:r>
    </w:p>
    <w:p>
      <w:pPr>
        <w:pStyle w:val="7"/>
        <w:keepNext w:val="0"/>
        <w:keepLines w:val="0"/>
        <w:pageBreakBefore w:val="0"/>
        <w:widowControl w:val="0"/>
        <w:kinsoku/>
        <w:wordWrap/>
        <w:overflowPunct/>
        <w:topLinePunct w:val="0"/>
        <w:autoSpaceDE/>
        <w:autoSpaceDN/>
        <w:bidi w:val="0"/>
        <w:adjustRightInd/>
        <w:snapToGrid w:val="0"/>
        <w:spacing w:line="600" w:lineRule="exact"/>
        <w:jc w:val="center"/>
        <w:textAlignment w:val="auto"/>
        <w:rPr>
          <w:b/>
          <w:sz w:val="44"/>
          <w:szCs w:val="44"/>
        </w:rPr>
      </w:pPr>
    </w:p>
    <w:p>
      <w:pPr>
        <w:pStyle w:val="7"/>
        <w:keepNext w:val="0"/>
        <w:keepLines w:val="0"/>
        <w:pageBreakBefore w:val="0"/>
        <w:widowControl w:val="0"/>
        <w:kinsoku/>
        <w:wordWrap/>
        <w:overflowPunct/>
        <w:topLinePunct w:val="0"/>
        <w:autoSpaceDE/>
        <w:autoSpaceDN/>
        <w:bidi w:val="0"/>
        <w:adjustRightInd/>
        <w:snapToGrid w:val="0"/>
        <w:spacing w:line="600" w:lineRule="exact"/>
        <w:jc w:val="center"/>
        <w:textAlignment w:val="auto"/>
        <w:rPr>
          <w:b/>
          <w:sz w:val="44"/>
          <w:szCs w:val="44"/>
        </w:rPr>
      </w:pPr>
    </w:p>
    <w:p>
      <w:pPr>
        <w:pStyle w:val="7"/>
        <w:keepNext w:val="0"/>
        <w:keepLines w:val="0"/>
        <w:pageBreakBefore w:val="0"/>
        <w:widowControl w:val="0"/>
        <w:kinsoku/>
        <w:wordWrap/>
        <w:overflowPunct/>
        <w:topLinePunct w:val="0"/>
        <w:autoSpaceDE/>
        <w:autoSpaceDN/>
        <w:bidi w:val="0"/>
        <w:adjustRightInd/>
        <w:snapToGrid w:val="0"/>
        <w:spacing w:line="600" w:lineRule="exact"/>
        <w:jc w:val="center"/>
        <w:textAlignment w:val="auto"/>
        <w:rPr>
          <w:rFonts w:hint="eastAsia" w:ascii="仿宋_GB2312" w:hAnsi="仿宋_GB2312" w:eastAsia="仿宋_GB2312" w:cs="仿宋_GB2312"/>
          <w:sz w:val="44"/>
          <w:szCs w:val="44"/>
        </w:rPr>
      </w:pPr>
      <w:r>
        <w:rPr>
          <w:rFonts w:hint="eastAsia" w:ascii="仿宋_GB2312" w:hAnsi="仿宋_GB2312" w:eastAsia="仿宋_GB2312" w:cs="仿宋_GB2312"/>
          <w:sz w:val="44"/>
          <w:szCs w:val="44"/>
        </w:rPr>
        <w:t>（202</w:t>
      </w:r>
      <w:r>
        <w:rPr>
          <w:rFonts w:hint="eastAsia" w:ascii="仿宋_GB2312" w:hAnsi="仿宋_GB2312" w:eastAsia="仿宋_GB2312" w:cs="仿宋_GB2312"/>
          <w:sz w:val="44"/>
          <w:szCs w:val="44"/>
          <w:lang w:val="en-US" w:eastAsia="zh-CN"/>
        </w:rPr>
        <w:t>2</w:t>
      </w:r>
      <w:r>
        <w:rPr>
          <w:rFonts w:hint="eastAsia" w:ascii="仿宋_GB2312" w:hAnsi="仿宋_GB2312" w:eastAsia="仿宋_GB2312" w:cs="仿宋_GB2312"/>
          <w:sz w:val="44"/>
          <w:szCs w:val="44"/>
        </w:rPr>
        <w:t>年度）</w:t>
      </w:r>
    </w:p>
    <w:p>
      <w:pPr>
        <w:pStyle w:val="7"/>
        <w:keepNext w:val="0"/>
        <w:keepLines w:val="0"/>
        <w:pageBreakBefore w:val="0"/>
        <w:widowControl w:val="0"/>
        <w:kinsoku/>
        <w:wordWrap/>
        <w:overflowPunct/>
        <w:topLinePunct w:val="0"/>
        <w:autoSpaceDE/>
        <w:autoSpaceDN/>
        <w:bidi w:val="0"/>
        <w:adjustRightInd/>
        <w:snapToGrid w:val="0"/>
        <w:spacing w:line="600" w:lineRule="exact"/>
        <w:textAlignment w:val="auto"/>
        <w:rPr>
          <w:sz w:val="44"/>
          <w:szCs w:val="44"/>
        </w:rPr>
      </w:pPr>
    </w:p>
    <w:p>
      <w:pPr>
        <w:pStyle w:val="7"/>
        <w:keepNext w:val="0"/>
        <w:keepLines w:val="0"/>
        <w:pageBreakBefore w:val="0"/>
        <w:widowControl w:val="0"/>
        <w:kinsoku/>
        <w:wordWrap/>
        <w:overflowPunct/>
        <w:topLinePunct w:val="0"/>
        <w:autoSpaceDE/>
        <w:autoSpaceDN/>
        <w:bidi w:val="0"/>
        <w:adjustRightInd/>
        <w:snapToGrid w:val="0"/>
        <w:spacing w:line="600" w:lineRule="exact"/>
        <w:textAlignment w:val="auto"/>
        <w:rPr>
          <w:sz w:val="44"/>
          <w:szCs w:val="44"/>
        </w:rPr>
      </w:pPr>
    </w:p>
    <w:p>
      <w:pPr>
        <w:pStyle w:val="7"/>
        <w:keepNext w:val="0"/>
        <w:keepLines w:val="0"/>
        <w:pageBreakBefore w:val="0"/>
        <w:widowControl w:val="0"/>
        <w:kinsoku/>
        <w:wordWrap/>
        <w:overflowPunct/>
        <w:topLinePunct w:val="0"/>
        <w:autoSpaceDE/>
        <w:autoSpaceDN/>
        <w:bidi w:val="0"/>
        <w:adjustRightInd/>
        <w:snapToGrid w:val="0"/>
        <w:spacing w:line="600" w:lineRule="exact"/>
        <w:textAlignment w:val="auto"/>
        <w:rPr>
          <w:sz w:val="44"/>
          <w:szCs w:val="44"/>
        </w:rPr>
      </w:pPr>
    </w:p>
    <w:p>
      <w:pPr>
        <w:pStyle w:val="7"/>
        <w:keepNext w:val="0"/>
        <w:keepLines w:val="0"/>
        <w:pageBreakBefore w:val="0"/>
        <w:widowControl w:val="0"/>
        <w:kinsoku/>
        <w:wordWrap/>
        <w:overflowPunct/>
        <w:topLinePunct w:val="0"/>
        <w:autoSpaceDE/>
        <w:autoSpaceDN/>
        <w:bidi w:val="0"/>
        <w:adjustRightInd/>
        <w:snapToGrid w:val="0"/>
        <w:spacing w:line="600" w:lineRule="exact"/>
        <w:textAlignment w:val="auto"/>
        <w:rPr>
          <w:sz w:val="44"/>
          <w:szCs w:val="44"/>
        </w:rPr>
      </w:pPr>
    </w:p>
    <w:p>
      <w:pPr>
        <w:pStyle w:val="7"/>
        <w:keepNext w:val="0"/>
        <w:keepLines w:val="0"/>
        <w:pageBreakBefore w:val="0"/>
        <w:widowControl w:val="0"/>
        <w:kinsoku/>
        <w:wordWrap/>
        <w:overflowPunct/>
        <w:topLinePunct w:val="0"/>
        <w:autoSpaceDE/>
        <w:autoSpaceDN/>
        <w:bidi w:val="0"/>
        <w:adjustRightInd/>
        <w:snapToGrid w:val="0"/>
        <w:spacing w:line="600" w:lineRule="exact"/>
        <w:textAlignment w:val="auto"/>
        <w:rPr>
          <w:sz w:val="44"/>
          <w:szCs w:val="44"/>
        </w:rPr>
      </w:pPr>
    </w:p>
    <w:p>
      <w:pPr>
        <w:pStyle w:val="7"/>
        <w:keepNext w:val="0"/>
        <w:keepLines w:val="0"/>
        <w:pageBreakBefore w:val="0"/>
        <w:widowControl w:val="0"/>
        <w:kinsoku/>
        <w:wordWrap/>
        <w:overflowPunct/>
        <w:topLinePunct w:val="0"/>
        <w:autoSpaceDE/>
        <w:autoSpaceDN/>
        <w:bidi w:val="0"/>
        <w:adjustRightInd/>
        <w:snapToGrid w:val="0"/>
        <w:spacing w:line="600" w:lineRule="exact"/>
        <w:textAlignment w:val="auto"/>
        <w:rPr>
          <w:sz w:val="44"/>
          <w:szCs w:val="44"/>
        </w:rPr>
      </w:pPr>
    </w:p>
    <w:p>
      <w:pPr>
        <w:pStyle w:val="7"/>
        <w:keepNext w:val="0"/>
        <w:keepLines w:val="0"/>
        <w:pageBreakBefore w:val="0"/>
        <w:widowControl w:val="0"/>
        <w:kinsoku/>
        <w:wordWrap/>
        <w:overflowPunct/>
        <w:topLinePunct w:val="0"/>
        <w:autoSpaceDE/>
        <w:autoSpaceDN/>
        <w:bidi w:val="0"/>
        <w:adjustRightInd/>
        <w:snapToGrid w:val="0"/>
        <w:spacing w:line="600" w:lineRule="exact"/>
        <w:textAlignment w:val="auto"/>
        <w:rPr>
          <w:sz w:val="44"/>
          <w:szCs w:val="44"/>
        </w:rPr>
      </w:pPr>
    </w:p>
    <w:p>
      <w:pPr>
        <w:pStyle w:val="7"/>
        <w:keepNext w:val="0"/>
        <w:keepLines w:val="0"/>
        <w:pageBreakBefore w:val="0"/>
        <w:widowControl w:val="0"/>
        <w:kinsoku/>
        <w:wordWrap/>
        <w:overflowPunct/>
        <w:topLinePunct w:val="0"/>
        <w:autoSpaceDE/>
        <w:autoSpaceDN/>
        <w:bidi w:val="0"/>
        <w:adjustRightInd/>
        <w:snapToGrid w:val="0"/>
        <w:spacing w:line="600" w:lineRule="exact"/>
        <w:textAlignment w:val="auto"/>
        <w:rPr>
          <w:sz w:val="44"/>
          <w:szCs w:val="44"/>
        </w:rPr>
      </w:pPr>
    </w:p>
    <w:p>
      <w:pPr>
        <w:pStyle w:val="7"/>
        <w:keepNext w:val="0"/>
        <w:keepLines w:val="0"/>
        <w:pageBreakBefore w:val="0"/>
        <w:widowControl w:val="0"/>
        <w:kinsoku/>
        <w:wordWrap/>
        <w:overflowPunct/>
        <w:topLinePunct w:val="0"/>
        <w:autoSpaceDE/>
        <w:autoSpaceDN/>
        <w:bidi w:val="0"/>
        <w:adjustRightInd/>
        <w:snapToGrid w:val="0"/>
        <w:spacing w:line="600" w:lineRule="exact"/>
        <w:textAlignment w:val="auto"/>
        <w:rPr>
          <w:rFonts w:hint="eastAsia" w:ascii="仿宋_GB2312" w:hAnsi="仿宋_GB2312" w:eastAsia="仿宋_GB2312" w:cs="仿宋_GB2312"/>
          <w:sz w:val="36"/>
          <w:szCs w:val="36"/>
        </w:rPr>
      </w:pPr>
      <w:r>
        <w:rPr>
          <w:rFonts w:hint="eastAsia" w:ascii="仿宋_GB2312" w:hAnsi="仿宋_GB2312" w:eastAsia="仿宋_GB2312" w:cs="仿宋_GB2312"/>
          <w:sz w:val="36"/>
          <w:szCs w:val="36"/>
        </w:rPr>
        <w:t>项目名称：额敏县上户镇直属三村提升打造建设项目</w:t>
      </w:r>
    </w:p>
    <w:p>
      <w:pPr>
        <w:pStyle w:val="7"/>
        <w:keepNext w:val="0"/>
        <w:keepLines w:val="0"/>
        <w:pageBreakBefore w:val="0"/>
        <w:widowControl w:val="0"/>
        <w:kinsoku/>
        <w:wordWrap/>
        <w:overflowPunct/>
        <w:topLinePunct w:val="0"/>
        <w:autoSpaceDE/>
        <w:autoSpaceDN/>
        <w:bidi w:val="0"/>
        <w:adjustRightInd/>
        <w:snapToGrid w:val="0"/>
        <w:spacing w:line="600" w:lineRule="exact"/>
        <w:textAlignment w:val="auto"/>
        <w:rPr>
          <w:rFonts w:hint="eastAsia" w:ascii="仿宋_GB2312" w:hAnsi="仿宋_GB2312" w:eastAsia="仿宋_GB2312" w:cs="仿宋_GB2312"/>
          <w:sz w:val="36"/>
          <w:szCs w:val="36"/>
        </w:rPr>
      </w:pPr>
      <w:r>
        <w:rPr>
          <w:rFonts w:hint="eastAsia" w:ascii="仿宋_GB2312" w:hAnsi="仿宋_GB2312" w:eastAsia="仿宋_GB2312" w:cs="仿宋_GB2312"/>
          <w:sz w:val="36"/>
          <w:szCs w:val="36"/>
        </w:rPr>
        <w:t>实施单位（公章）：</w:t>
      </w:r>
      <w:r>
        <w:rPr>
          <w:rFonts w:hint="eastAsia" w:ascii="仿宋_GB2312" w:hAnsi="仿宋_GB2312" w:eastAsia="仿宋_GB2312" w:cs="仿宋_GB2312"/>
          <w:sz w:val="36"/>
          <w:szCs w:val="36"/>
          <w:lang w:eastAsia="zh-CN"/>
        </w:rPr>
        <w:t>额敏县上户镇人民政府</w:t>
      </w:r>
    </w:p>
    <w:p>
      <w:pPr>
        <w:pStyle w:val="7"/>
        <w:keepNext w:val="0"/>
        <w:keepLines w:val="0"/>
        <w:pageBreakBefore w:val="0"/>
        <w:widowControl w:val="0"/>
        <w:kinsoku/>
        <w:wordWrap/>
        <w:overflowPunct/>
        <w:topLinePunct w:val="0"/>
        <w:autoSpaceDE/>
        <w:autoSpaceDN/>
        <w:bidi w:val="0"/>
        <w:adjustRightInd/>
        <w:snapToGrid w:val="0"/>
        <w:spacing w:line="600" w:lineRule="exact"/>
        <w:textAlignment w:val="auto"/>
        <w:rPr>
          <w:rFonts w:hint="eastAsia" w:ascii="仿宋_GB2312" w:hAnsi="仿宋_GB2312" w:eastAsia="仿宋_GB2312" w:cs="仿宋_GB2312"/>
          <w:sz w:val="36"/>
          <w:szCs w:val="36"/>
          <w:lang w:val="en-US" w:eastAsia="zh-CN"/>
        </w:rPr>
      </w:pPr>
      <w:r>
        <w:rPr>
          <w:rFonts w:hint="eastAsia" w:ascii="仿宋_GB2312" w:hAnsi="仿宋_GB2312" w:eastAsia="仿宋_GB2312" w:cs="仿宋_GB2312"/>
          <w:sz w:val="36"/>
          <w:szCs w:val="36"/>
        </w:rPr>
        <w:t>主管部门（公章）：</w:t>
      </w:r>
      <w:r>
        <w:rPr>
          <w:rFonts w:hint="eastAsia" w:ascii="仿宋_GB2312" w:hAnsi="仿宋_GB2312" w:eastAsia="仿宋_GB2312" w:cs="仿宋_GB2312"/>
          <w:sz w:val="36"/>
          <w:szCs w:val="36"/>
          <w:lang w:val="en-US" w:eastAsia="zh-CN"/>
        </w:rPr>
        <w:t>额敏县乡村振兴局</w:t>
      </w:r>
    </w:p>
    <w:p>
      <w:pPr>
        <w:pStyle w:val="7"/>
        <w:keepNext w:val="0"/>
        <w:keepLines w:val="0"/>
        <w:pageBreakBefore w:val="0"/>
        <w:widowControl w:val="0"/>
        <w:kinsoku/>
        <w:wordWrap/>
        <w:overflowPunct/>
        <w:topLinePunct w:val="0"/>
        <w:autoSpaceDE/>
        <w:autoSpaceDN/>
        <w:bidi w:val="0"/>
        <w:adjustRightInd/>
        <w:snapToGrid w:val="0"/>
        <w:spacing w:line="600" w:lineRule="exact"/>
        <w:textAlignment w:val="auto"/>
        <w:rPr>
          <w:rFonts w:hint="eastAsia" w:ascii="仿宋_GB2312" w:hAnsi="仿宋_GB2312" w:eastAsia="仿宋_GB2312" w:cs="仿宋_GB2312"/>
          <w:sz w:val="36"/>
          <w:szCs w:val="36"/>
          <w:lang w:val="en-US" w:eastAsia="zh-CN"/>
        </w:rPr>
      </w:pPr>
      <w:r>
        <w:rPr>
          <w:rFonts w:hint="eastAsia" w:ascii="仿宋_GB2312" w:hAnsi="仿宋_GB2312" w:eastAsia="仿宋_GB2312" w:cs="仿宋_GB2312"/>
          <w:sz w:val="36"/>
          <w:szCs w:val="36"/>
        </w:rPr>
        <w:t>项目负责人（签章）：</w:t>
      </w:r>
      <w:r>
        <w:rPr>
          <w:rFonts w:hint="eastAsia" w:ascii="仿宋_GB2312" w:hAnsi="仿宋_GB2312" w:eastAsia="仿宋_GB2312" w:cs="仿宋_GB2312"/>
          <w:sz w:val="36"/>
          <w:szCs w:val="36"/>
          <w:lang w:val="en-US" w:eastAsia="zh-CN"/>
        </w:rPr>
        <w:t>蒋伟</w:t>
      </w:r>
    </w:p>
    <w:p>
      <w:pPr>
        <w:pStyle w:val="7"/>
        <w:keepNext w:val="0"/>
        <w:keepLines w:val="0"/>
        <w:pageBreakBefore w:val="0"/>
        <w:widowControl w:val="0"/>
        <w:kinsoku/>
        <w:wordWrap/>
        <w:overflowPunct/>
        <w:topLinePunct w:val="0"/>
        <w:autoSpaceDE/>
        <w:autoSpaceDN/>
        <w:bidi w:val="0"/>
        <w:adjustRightInd/>
        <w:snapToGrid w:val="0"/>
        <w:spacing w:line="600" w:lineRule="exact"/>
        <w:textAlignment w:val="auto"/>
        <w:rPr>
          <w:rFonts w:hint="eastAsia" w:ascii="仿宋_GB2312" w:hAnsi="仿宋_GB2312" w:eastAsia="仿宋_GB2312" w:cs="仿宋_GB2312"/>
          <w:sz w:val="36"/>
          <w:szCs w:val="36"/>
        </w:rPr>
      </w:pPr>
    </w:p>
    <w:p>
      <w:pPr>
        <w:pStyle w:val="7"/>
        <w:keepNext w:val="0"/>
        <w:keepLines w:val="0"/>
        <w:pageBreakBefore w:val="0"/>
        <w:widowControl w:val="0"/>
        <w:kinsoku/>
        <w:wordWrap/>
        <w:overflowPunct/>
        <w:topLinePunct w:val="0"/>
        <w:autoSpaceDE/>
        <w:autoSpaceDN/>
        <w:bidi w:val="0"/>
        <w:adjustRightInd/>
        <w:snapToGrid w:val="0"/>
        <w:spacing w:line="600" w:lineRule="exact"/>
        <w:ind w:firstLine="360" w:firstLineChars="100"/>
        <w:jc w:val="center"/>
        <w:textAlignment w:val="auto"/>
        <w:rPr>
          <w:rFonts w:hint="eastAsia" w:ascii="仿宋_GB2312" w:hAnsi="仿宋_GB2312" w:eastAsia="仿宋_GB2312" w:cs="仿宋_GB2312"/>
          <w:sz w:val="36"/>
          <w:szCs w:val="36"/>
        </w:rPr>
      </w:pPr>
      <w:r>
        <w:rPr>
          <w:rFonts w:hint="eastAsia" w:ascii="仿宋_GB2312" w:hAnsi="仿宋_GB2312" w:eastAsia="仿宋_GB2312" w:cs="仿宋_GB2312"/>
          <w:sz w:val="36"/>
          <w:szCs w:val="36"/>
        </w:rPr>
        <w:t>填报时间：202</w:t>
      </w:r>
      <w:r>
        <w:rPr>
          <w:rFonts w:hint="eastAsia" w:ascii="仿宋_GB2312" w:hAnsi="仿宋_GB2312" w:eastAsia="仿宋_GB2312" w:cs="仿宋_GB2312"/>
          <w:sz w:val="36"/>
          <w:szCs w:val="36"/>
          <w:lang w:val="en-US" w:eastAsia="zh-CN"/>
        </w:rPr>
        <w:t>3</w:t>
      </w:r>
      <w:r>
        <w:rPr>
          <w:rFonts w:hint="eastAsia" w:ascii="仿宋_GB2312" w:hAnsi="仿宋_GB2312" w:eastAsia="仿宋_GB2312" w:cs="仿宋_GB2312"/>
          <w:sz w:val="36"/>
          <w:szCs w:val="36"/>
        </w:rPr>
        <w:t>年</w:t>
      </w:r>
      <w:r>
        <w:rPr>
          <w:rFonts w:hint="eastAsia" w:ascii="仿宋_GB2312" w:hAnsi="仿宋_GB2312" w:eastAsia="仿宋_GB2312" w:cs="仿宋_GB2312"/>
          <w:sz w:val="36"/>
          <w:szCs w:val="36"/>
          <w:lang w:val="en-US" w:eastAsia="zh-CN"/>
        </w:rPr>
        <w:t>3</w:t>
      </w:r>
      <w:r>
        <w:rPr>
          <w:rFonts w:hint="eastAsia" w:ascii="仿宋_GB2312" w:hAnsi="仿宋_GB2312" w:eastAsia="仿宋_GB2312" w:cs="仿宋_GB2312"/>
          <w:sz w:val="36"/>
          <w:szCs w:val="36"/>
        </w:rPr>
        <w:t>月</w:t>
      </w:r>
      <w:r>
        <w:rPr>
          <w:rFonts w:hint="eastAsia" w:ascii="仿宋_GB2312" w:hAnsi="仿宋_GB2312" w:eastAsia="仿宋_GB2312" w:cs="仿宋_GB2312"/>
          <w:sz w:val="36"/>
          <w:szCs w:val="36"/>
          <w:lang w:val="en-US" w:eastAsia="zh-CN"/>
        </w:rPr>
        <w:t>15</w:t>
      </w:r>
      <w:r>
        <w:rPr>
          <w:rFonts w:hint="eastAsia" w:ascii="仿宋_GB2312" w:hAnsi="仿宋_GB2312" w:eastAsia="仿宋_GB2312" w:cs="仿宋_GB2312"/>
          <w:sz w:val="36"/>
          <w:szCs w:val="36"/>
        </w:rPr>
        <w:t>日</w:t>
      </w:r>
    </w:p>
    <w:p>
      <w:pPr>
        <w:pStyle w:val="7"/>
        <w:keepNext w:val="0"/>
        <w:keepLines w:val="0"/>
        <w:pageBreakBefore w:val="0"/>
        <w:widowControl w:val="0"/>
        <w:kinsoku/>
        <w:wordWrap/>
        <w:overflowPunct/>
        <w:topLinePunct w:val="0"/>
        <w:autoSpaceDE/>
        <w:autoSpaceDN/>
        <w:bidi w:val="0"/>
        <w:adjustRightInd/>
        <w:snapToGrid w:val="0"/>
        <w:spacing w:line="600" w:lineRule="exact"/>
        <w:ind w:firstLine="360" w:firstLineChars="100"/>
        <w:jc w:val="center"/>
        <w:textAlignment w:val="auto"/>
        <w:rPr>
          <w:rFonts w:hint="eastAsia" w:ascii="仿宋_GB2312" w:hAnsi="仿宋_GB2312" w:eastAsia="仿宋_GB2312" w:cs="仿宋_GB2312"/>
          <w:sz w:val="36"/>
          <w:szCs w:val="36"/>
        </w:rPr>
      </w:pPr>
    </w:p>
    <w:p>
      <w:pPr>
        <w:pStyle w:val="7"/>
        <w:keepNext w:val="0"/>
        <w:keepLines w:val="0"/>
        <w:pageBreakBefore w:val="0"/>
        <w:widowControl w:val="0"/>
        <w:kinsoku/>
        <w:wordWrap/>
        <w:overflowPunct/>
        <w:topLinePunct w:val="0"/>
        <w:autoSpaceDE/>
        <w:autoSpaceDN/>
        <w:bidi w:val="0"/>
        <w:adjustRightInd/>
        <w:snapToGrid w:val="0"/>
        <w:spacing w:line="600" w:lineRule="exact"/>
        <w:ind w:firstLine="720" w:firstLineChars="200"/>
        <w:jc w:val="center"/>
        <w:textAlignment w:val="auto"/>
        <w:rPr>
          <w:rFonts w:hint="eastAsia" w:ascii="方正小标宋简体" w:hAnsi="方正小标宋简体" w:eastAsia="方正小标宋简体" w:cs="方正小标宋简体"/>
          <w:color w:val="auto"/>
          <w:sz w:val="36"/>
          <w:szCs w:val="36"/>
          <w:lang w:eastAsia="zh-CN"/>
        </w:rPr>
      </w:pPr>
      <w:r>
        <w:rPr>
          <w:rFonts w:hint="eastAsia" w:ascii="方正小标宋简体" w:hAnsi="方正小标宋简体" w:eastAsia="方正小标宋简体" w:cs="方正小标宋简体"/>
          <w:sz w:val="36"/>
          <w:szCs w:val="36"/>
          <w:lang w:eastAsia="zh-CN"/>
        </w:rPr>
        <w:t>额敏</w:t>
      </w:r>
      <w:r>
        <w:rPr>
          <w:rFonts w:hint="eastAsia" w:ascii="方正小标宋简体" w:hAnsi="方正小标宋简体" w:eastAsia="方正小标宋简体" w:cs="方正小标宋简体"/>
          <w:color w:val="auto"/>
          <w:sz w:val="36"/>
          <w:szCs w:val="36"/>
          <w:lang w:eastAsia="zh-CN"/>
        </w:rPr>
        <w:t>县</w:t>
      </w:r>
      <w:r>
        <w:rPr>
          <w:rFonts w:hint="eastAsia" w:ascii="方正小标宋简体" w:hAnsi="方正小标宋简体" w:eastAsia="方正小标宋简体" w:cs="方正小标宋简体"/>
          <w:color w:val="auto"/>
          <w:sz w:val="36"/>
          <w:szCs w:val="36"/>
          <w:lang w:val="en-US" w:eastAsia="zh-CN"/>
        </w:rPr>
        <w:t>上户镇</w:t>
      </w:r>
      <w:r>
        <w:rPr>
          <w:rFonts w:hint="eastAsia" w:ascii="方正小标宋简体" w:hAnsi="方正小标宋简体" w:eastAsia="方正小标宋简体" w:cs="方正小标宋简体"/>
          <w:color w:val="auto"/>
          <w:sz w:val="36"/>
          <w:szCs w:val="36"/>
          <w:lang w:eastAsia="zh-CN"/>
        </w:rPr>
        <w:t>2022年财政衔接推进乡村振兴</w:t>
      </w:r>
      <w:r>
        <w:rPr>
          <w:rFonts w:hint="eastAsia" w:ascii="方正小标宋简体" w:hAnsi="方正小标宋简体" w:eastAsia="方正小标宋简体" w:cs="方正小标宋简体"/>
          <w:color w:val="auto"/>
          <w:sz w:val="36"/>
          <w:szCs w:val="36"/>
          <w:lang w:val="en-US" w:eastAsia="zh-CN"/>
        </w:rPr>
        <w:t>补助</w:t>
      </w:r>
      <w:r>
        <w:rPr>
          <w:rFonts w:hint="eastAsia" w:ascii="方正小标宋简体" w:hAnsi="方正小标宋简体" w:eastAsia="方正小标宋简体" w:cs="方正小标宋简体"/>
          <w:color w:val="auto"/>
          <w:sz w:val="36"/>
          <w:szCs w:val="36"/>
          <w:lang w:eastAsia="zh-CN"/>
        </w:rPr>
        <w:t>资金绩效自评总结报告</w:t>
      </w:r>
    </w:p>
    <w:p>
      <w:pPr>
        <w:pStyle w:val="7"/>
        <w:keepNext w:val="0"/>
        <w:keepLines w:val="0"/>
        <w:pageBreakBefore w:val="0"/>
        <w:widowControl w:val="0"/>
        <w:kinsoku/>
        <w:wordWrap/>
        <w:overflowPunct/>
        <w:topLinePunct w:val="0"/>
        <w:autoSpaceDE/>
        <w:autoSpaceDN/>
        <w:bidi w:val="0"/>
        <w:adjustRightInd/>
        <w:snapToGrid w:val="0"/>
        <w:spacing w:line="600" w:lineRule="exact"/>
        <w:ind w:firstLine="643" w:firstLineChars="200"/>
        <w:jc w:val="both"/>
        <w:textAlignment w:val="auto"/>
        <w:rPr>
          <w:rFonts w:hint="eastAsia" w:ascii="黑体" w:hAnsi="黑体" w:eastAsia="黑体" w:cs="仿宋_GB2312"/>
          <w:b/>
          <w:color w:val="auto"/>
          <w:sz w:val="32"/>
          <w:szCs w:val="32"/>
        </w:rPr>
      </w:pP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rPr>
          <w:rFonts w:hint="eastAsia"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一、绩效目标分解下达情况</w:t>
      </w: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rPr>
          <w:rFonts w:hint="eastAsia"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（一）</w:t>
      </w:r>
      <w:r>
        <w:rPr>
          <w:rFonts w:hint="eastAsia" w:ascii="仿宋_GB2312" w:hAnsi="仿宋_GB2312" w:eastAsia="仿宋_GB2312" w:cs="仿宋_GB2312"/>
          <w:b/>
          <w:color w:val="auto"/>
          <w:sz w:val="32"/>
          <w:szCs w:val="32"/>
          <w:lang w:eastAsia="zh-CN"/>
        </w:rPr>
        <w:t>财政衔接推进乡村振兴</w:t>
      </w:r>
      <w:r>
        <w:rPr>
          <w:rFonts w:hint="eastAsia" w:ascii="仿宋_GB2312" w:hAnsi="仿宋_GB2312" w:eastAsia="仿宋_GB2312" w:cs="仿宋_GB2312"/>
          <w:b/>
          <w:color w:val="auto"/>
          <w:sz w:val="32"/>
          <w:szCs w:val="32"/>
          <w:lang w:val="en-US" w:eastAsia="zh-CN"/>
        </w:rPr>
        <w:t>补助</w:t>
      </w:r>
      <w:r>
        <w:rPr>
          <w:rFonts w:hint="eastAsia" w:ascii="仿宋_GB2312" w:hAnsi="仿宋_GB2312" w:eastAsia="仿宋_GB2312" w:cs="仿宋_GB2312"/>
          <w:b/>
          <w:color w:val="auto"/>
          <w:sz w:val="32"/>
          <w:szCs w:val="32"/>
          <w:lang w:eastAsia="zh-CN"/>
        </w:rPr>
        <w:t>资金</w:t>
      </w:r>
      <w:r>
        <w:rPr>
          <w:rFonts w:hint="eastAsia" w:ascii="仿宋_GB2312" w:hAnsi="仿宋_GB2312" w:eastAsia="仿宋_GB2312" w:cs="仿宋_GB2312"/>
          <w:b/>
          <w:color w:val="auto"/>
          <w:sz w:val="32"/>
          <w:szCs w:val="32"/>
        </w:rPr>
        <w:t>下达预算及项目情况</w:t>
      </w: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rPr>
          <w:rFonts w:hint="eastAsia"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1.下达预算情况</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color w:val="auto"/>
          <w:sz w:val="32"/>
          <w:szCs w:val="32"/>
        </w:rPr>
        <w:t>本项目合计下达资金</w:t>
      </w:r>
      <w:r>
        <w:rPr>
          <w:rFonts w:hint="eastAsia" w:ascii="仿宋_GB2312" w:hAnsi="仿宋_GB2312" w:eastAsia="仿宋_GB2312" w:cs="仿宋_GB2312"/>
          <w:color w:val="auto"/>
          <w:sz w:val="32"/>
          <w:szCs w:val="32"/>
          <w:lang w:val="en-US" w:eastAsia="zh-CN"/>
        </w:rPr>
        <w:t>293</w:t>
      </w:r>
      <w:r>
        <w:rPr>
          <w:rFonts w:hint="eastAsia" w:ascii="仿宋_GB2312" w:hAnsi="仿宋_GB2312" w:eastAsia="仿宋_GB2312" w:cs="仿宋_GB2312"/>
          <w:color w:val="auto"/>
          <w:sz w:val="32"/>
          <w:szCs w:val="32"/>
        </w:rPr>
        <w:t>万元。全部为中央</w:t>
      </w:r>
      <w:r>
        <w:rPr>
          <w:rFonts w:hint="eastAsia" w:ascii="仿宋_GB2312" w:hAnsi="仿宋_GB2312" w:eastAsia="仿宋_GB2312" w:cs="仿宋_GB2312"/>
          <w:color w:val="auto"/>
          <w:sz w:val="32"/>
          <w:szCs w:val="32"/>
          <w:highlight w:val="none"/>
        </w:rPr>
        <w:t>财政衔接推进乡村振兴补助资金，具体如下：</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rPr>
        <w:t>根据</w:t>
      </w:r>
      <w:r>
        <w:rPr>
          <w:rFonts w:hint="eastAsia" w:ascii="仿宋_GB2312" w:hAnsi="仿宋_GB2312" w:eastAsia="仿宋_GB2312" w:cs="仿宋_GB2312"/>
          <w:color w:val="auto"/>
          <w:sz w:val="32"/>
          <w:szCs w:val="32"/>
          <w:lang w:val="en-US" w:eastAsia="zh-CN"/>
        </w:rPr>
        <w:t>塔地财扶【2021】14号</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提前下达2022年中央财政衔接推进乡村振兴补助资金预算的通知</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额财农字【2022】2号</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关于提前下达2022年中央财政衔接推进乡村振兴补助资金预算的通知》下达中央财政衔接推进乡村振兴补助资金293万元；</w:t>
      </w:r>
    </w:p>
    <w:p>
      <w:pPr>
        <w:pStyle w:val="7"/>
        <w:keepNext w:val="0"/>
        <w:keepLines w:val="0"/>
        <w:pageBreakBefore w:val="0"/>
        <w:widowControl w:val="0"/>
        <w:numPr>
          <w:ilvl w:val="0"/>
          <w:numId w:val="0"/>
        </w:numPr>
        <w:kinsoku/>
        <w:wordWrap/>
        <w:overflowPunct/>
        <w:topLinePunct w:val="0"/>
        <w:autoSpaceDE/>
        <w:autoSpaceDN/>
        <w:bidi w:val="0"/>
        <w:adjustRightInd/>
        <w:spacing w:line="600" w:lineRule="exact"/>
        <w:ind w:firstLine="643" w:firstLineChars="200"/>
        <w:jc w:val="both"/>
        <w:rPr>
          <w:rFonts w:hint="eastAsia"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lang w:val="en-US" w:eastAsia="zh-CN"/>
        </w:rPr>
        <w:t>2.</w:t>
      </w:r>
      <w:r>
        <w:rPr>
          <w:rFonts w:hint="eastAsia" w:ascii="仿宋_GB2312" w:hAnsi="仿宋_GB2312" w:eastAsia="仿宋_GB2312" w:cs="仿宋_GB2312"/>
          <w:b/>
          <w:color w:val="auto"/>
          <w:sz w:val="32"/>
          <w:szCs w:val="32"/>
        </w:rPr>
        <w:t>项目情况</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根据</w:t>
      </w:r>
      <w:r>
        <w:rPr>
          <w:rFonts w:hint="eastAsia" w:ascii="仿宋_GB2312" w:hAnsi="仿宋_GB2312" w:eastAsia="仿宋_GB2312" w:cs="仿宋_GB2312"/>
          <w:color w:val="auto"/>
          <w:sz w:val="32"/>
          <w:szCs w:val="32"/>
          <w:lang w:eastAsia="zh-CN"/>
        </w:rPr>
        <w:t>我县财政衔接推进乡村振兴补助资金</w:t>
      </w:r>
      <w:r>
        <w:rPr>
          <w:rFonts w:hint="eastAsia" w:ascii="仿宋_GB2312" w:hAnsi="仿宋_GB2312" w:eastAsia="仿宋_GB2312" w:cs="仿宋_GB2312"/>
          <w:color w:val="auto"/>
          <w:sz w:val="32"/>
          <w:szCs w:val="32"/>
        </w:rPr>
        <w:t>安排，该项目主要</w:t>
      </w:r>
      <w:r>
        <w:rPr>
          <w:rFonts w:hint="eastAsia" w:ascii="仿宋_GB2312" w:hAnsi="仿宋_GB2312" w:eastAsia="仿宋_GB2312" w:cs="仿宋_GB2312"/>
          <w:color w:val="auto"/>
          <w:sz w:val="32"/>
          <w:szCs w:val="32"/>
          <w:lang w:val="en-US" w:eastAsia="zh-CN"/>
        </w:rPr>
        <w:t>为</w:t>
      </w:r>
      <w:r>
        <w:rPr>
          <w:rFonts w:hint="eastAsia" w:ascii="仿宋_GB2312" w:hAnsi="仿宋_GB2312" w:eastAsia="仿宋_GB2312" w:cs="仿宋_GB2312"/>
          <w:color w:val="auto"/>
          <w:sz w:val="32"/>
          <w:szCs w:val="32"/>
        </w:rPr>
        <w:t>基础设施建设。具体情况如下：</w:t>
      </w:r>
    </w:p>
    <w:p>
      <w:pPr>
        <w:keepNext w:val="0"/>
        <w:keepLines w:val="0"/>
        <w:pageBreakBefore w:val="0"/>
        <w:widowControl w:val="0"/>
        <w:kinsoku/>
        <w:wordWrap/>
        <w:overflowPunct/>
        <w:topLinePunct w:val="0"/>
        <w:autoSpaceDE/>
        <w:autoSpaceDN/>
        <w:bidi w:val="0"/>
        <w:adjustRightInd/>
        <w:spacing w:line="60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根据</w:t>
      </w:r>
      <w:r>
        <w:rPr>
          <w:rFonts w:hint="eastAsia" w:ascii="仿宋_GB2312" w:hAnsi="仿宋_GB2312" w:eastAsia="仿宋_GB2312" w:cs="仿宋_GB2312"/>
          <w:color w:val="auto"/>
          <w:sz w:val="32"/>
          <w:szCs w:val="32"/>
          <w:lang w:eastAsia="zh-CN"/>
        </w:rPr>
        <w:t>额敏县</w:t>
      </w:r>
      <w:r>
        <w:rPr>
          <w:rFonts w:hint="eastAsia" w:ascii="仿宋_GB2312" w:hAnsi="仿宋_GB2312" w:eastAsia="仿宋_GB2312" w:cs="仿宋_GB2312"/>
          <w:color w:val="auto"/>
          <w:sz w:val="32"/>
          <w:szCs w:val="32"/>
          <w:lang w:val="en-US" w:eastAsia="zh-CN"/>
        </w:rPr>
        <w:t>乡村振兴领导小组</w:t>
      </w:r>
      <w:r>
        <w:rPr>
          <w:rFonts w:hint="eastAsia" w:ascii="仿宋_GB2312" w:hAnsi="仿宋_GB2312" w:eastAsia="仿宋_GB2312" w:cs="仿宋_GB2312"/>
          <w:color w:val="auto"/>
          <w:sz w:val="32"/>
          <w:szCs w:val="32"/>
        </w:rPr>
        <w:t>下发的《</w:t>
      </w:r>
      <w:r>
        <w:rPr>
          <w:rFonts w:hint="eastAsia" w:ascii="仿宋_GB2312" w:hAnsi="仿宋_GB2312" w:eastAsia="仿宋_GB2312" w:cs="仿宋_GB2312"/>
          <w:color w:val="auto"/>
          <w:sz w:val="32"/>
          <w:szCs w:val="32"/>
          <w:lang w:val="en-US" w:eastAsia="zh-CN"/>
        </w:rPr>
        <w:t>额乡镇局发【2022】10号</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（塔市乡振领发[2021]14号）文件，建设</w:t>
      </w:r>
      <w:r>
        <w:rPr>
          <w:rFonts w:hint="eastAsia" w:ascii="仿宋_GB2312" w:hAnsi="仿宋_GB2312" w:eastAsia="仿宋_GB2312" w:cs="仿宋_GB2312"/>
          <w:color w:val="auto"/>
          <w:sz w:val="32"/>
          <w:szCs w:val="32"/>
        </w:rPr>
        <w:t>内容如下：</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项目总投资：</w:t>
      </w:r>
      <w:r>
        <w:rPr>
          <w:rFonts w:hint="eastAsia" w:ascii="仿宋_GB2312" w:hAnsi="仿宋_GB2312" w:eastAsia="仿宋_GB2312" w:cs="仿宋_GB2312"/>
          <w:color w:val="auto"/>
          <w:sz w:val="32"/>
          <w:szCs w:val="32"/>
          <w:lang w:val="en-US" w:eastAsia="zh-CN"/>
        </w:rPr>
        <w:t>293</w:t>
      </w:r>
      <w:r>
        <w:rPr>
          <w:rFonts w:hint="eastAsia" w:ascii="仿宋_GB2312" w:hAnsi="仿宋_GB2312" w:eastAsia="仿宋_GB2312" w:cs="仿宋_GB2312"/>
          <w:color w:val="auto"/>
          <w:sz w:val="32"/>
          <w:szCs w:val="32"/>
        </w:rPr>
        <w:t>万元。</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baseline"/>
        <w:rPr>
          <w:rFonts w:hint="eastAsia" w:ascii="仿宋_GB2312" w:hAnsi="仿宋_GB2312" w:eastAsia="仿宋_GB2312" w:cs="仿宋_GB2312"/>
          <w:b/>
          <w:color w:val="auto"/>
          <w:sz w:val="32"/>
          <w:szCs w:val="32"/>
        </w:rPr>
      </w:pPr>
      <w:r>
        <w:rPr>
          <w:rFonts w:hint="eastAsia" w:ascii="仿宋_GB2312" w:hAnsi="仿宋_GB2312" w:eastAsia="仿宋_GB2312" w:cs="仿宋_GB2312"/>
          <w:color w:val="auto"/>
          <w:sz w:val="32"/>
          <w:szCs w:val="32"/>
        </w:rPr>
        <w:t>主要建设内容：</w:t>
      </w:r>
      <w:r>
        <w:rPr>
          <w:rFonts w:hint="eastAsia" w:ascii="仿宋_GB2312" w:hAnsi="仿宋_GB2312" w:eastAsia="仿宋_GB2312" w:cs="仿宋_GB2312"/>
          <w:b w:val="0"/>
          <w:i w:val="0"/>
          <w:caps w:val="0"/>
          <w:color w:val="auto"/>
          <w:spacing w:val="0"/>
          <w:w w:val="100"/>
          <w:sz w:val="32"/>
          <w:szCs w:val="32"/>
        </w:rPr>
        <w:t>新建防护设施3370米；场地硬化5480平方米及附属设施建设。</w:t>
      </w: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rPr>
          <w:rFonts w:hint="eastAsia"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（二）</w:t>
      </w:r>
      <w:r>
        <w:rPr>
          <w:rFonts w:hint="eastAsia" w:ascii="仿宋_GB2312" w:hAnsi="仿宋_GB2312" w:eastAsia="仿宋_GB2312" w:cs="仿宋_GB2312"/>
          <w:b/>
          <w:color w:val="auto"/>
          <w:sz w:val="32"/>
          <w:szCs w:val="32"/>
          <w:lang w:eastAsia="zh-CN"/>
        </w:rPr>
        <w:t>财政衔接推进乡村振兴补助资金</w:t>
      </w:r>
      <w:r>
        <w:rPr>
          <w:rFonts w:hint="eastAsia" w:ascii="仿宋_GB2312" w:hAnsi="仿宋_GB2312" w:eastAsia="仿宋_GB2312" w:cs="仿宋_GB2312"/>
          <w:b/>
          <w:color w:val="auto"/>
          <w:sz w:val="32"/>
          <w:szCs w:val="32"/>
        </w:rPr>
        <w:t>项目绩效目标设定情况</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rPr>
        <w:t>根据</w:t>
      </w:r>
      <w:r>
        <w:rPr>
          <w:rFonts w:hint="eastAsia" w:ascii="仿宋_GB2312" w:hAnsi="仿宋_GB2312" w:eastAsia="仿宋_GB2312" w:cs="仿宋_GB2312"/>
          <w:color w:val="auto"/>
          <w:sz w:val="32"/>
          <w:szCs w:val="32"/>
          <w:lang w:eastAsia="zh-CN"/>
        </w:rPr>
        <w:t>我县财政衔接推进乡村振兴补助资金</w:t>
      </w:r>
      <w:r>
        <w:rPr>
          <w:rFonts w:hint="eastAsia" w:ascii="仿宋_GB2312" w:hAnsi="仿宋_GB2312" w:eastAsia="仿宋_GB2312" w:cs="仿宋_GB2312"/>
          <w:color w:val="auto"/>
          <w:sz w:val="32"/>
          <w:szCs w:val="32"/>
        </w:rPr>
        <w:t>安排，该项目</w:t>
      </w:r>
      <w:r>
        <w:rPr>
          <w:rFonts w:hint="eastAsia" w:ascii="仿宋_GB2312" w:hAnsi="仿宋_GB2312" w:eastAsia="仿宋_GB2312" w:cs="仿宋_GB2312"/>
          <w:color w:val="auto"/>
          <w:sz w:val="32"/>
          <w:szCs w:val="32"/>
          <w:highlight w:val="none"/>
        </w:rPr>
        <w:t>主要对</w:t>
      </w:r>
      <w:r>
        <w:rPr>
          <w:rFonts w:hint="eastAsia" w:ascii="仿宋_GB2312" w:hAnsi="仿宋_GB2312" w:eastAsia="仿宋_GB2312" w:cs="仿宋_GB2312"/>
          <w:color w:val="auto"/>
          <w:sz w:val="32"/>
          <w:szCs w:val="32"/>
          <w:highlight w:val="none"/>
          <w:lang w:eastAsia="zh-CN"/>
        </w:rPr>
        <w:t>脱贫</w:t>
      </w:r>
      <w:r>
        <w:rPr>
          <w:rFonts w:hint="eastAsia" w:ascii="仿宋_GB2312" w:hAnsi="仿宋_GB2312" w:eastAsia="仿宋_GB2312" w:cs="仿宋_GB2312"/>
          <w:color w:val="auto"/>
          <w:sz w:val="32"/>
          <w:szCs w:val="32"/>
          <w:highlight w:val="none"/>
        </w:rPr>
        <w:t>村基础设施建设项目申报绩效目标。</w:t>
      </w:r>
    </w:p>
    <w:p>
      <w:pPr>
        <w:pStyle w:val="7"/>
        <w:keepNext w:val="0"/>
        <w:keepLines w:val="0"/>
        <w:pageBreakBefore w:val="0"/>
        <w:widowControl w:val="0"/>
        <w:numPr>
          <w:ilvl w:val="0"/>
          <w:numId w:val="0"/>
        </w:numPr>
        <w:kinsoku/>
        <w:wordWrap/>
        <w:overflowPunct/>
        <w:topLinePunct w:val="0"/>
        <w:autoSpaceDE/>
        <w:autoSpaceDN/>
        <w:bidi w:val="0"/>
        <w:adjustRightInd/>
        <w:spacing w:line="600" w:lineRule="exact"/>
        <w:ind w:firstLine="640" w:firstLineChars="20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项目绩效总体目标设定如下</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计划新建防护设施3370米，场地硬化5480平方米及附属设施建设项目。通过项目实施大大改变了项目实施区域的生产生活条件，加快了新农村建设，为农村经济发展和农民就业创造了有利的条件,增加农民的收入。</w:t>
      </w:r>
    </w:p>
    <w:p>
      <w:pPr>
        <w:pStyle w:val="7"/>
        <w:keepNext w:val="0"/>
        <w:keepLines w:val="0"/>
        <w:pageBreakBefore w:val="0"/>
        <w:widowControl w:val="0"/>
        <w:numPr>
          <w:ilvl w:val="0"/>
          <w:numId w:val="0"/>
        </w:numPr>
        <w:kinsoku/>
        <w:wordWrap/>
        <w:overflowPunct/>
        <w:topLinePunct w:val="0"/>
        <w:autoSpaceDE/>
        <w:autoSpaceDN/>
        <w:bidi w:val="0"/>
        <w:adjustRightInd/>
        <w:spacing w:line="60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具体绩效指标见下表：</w:t>
      </w:r>
    </w:p>
    <w:tbl>
      <w:tblPr>
        <w:tblStyle w:val="9"/>
        <w:tblW w:w="8180"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40"/>
        <w:gridCol w:w="1036"/>
        <w:gridCol w:w="1756"/>
        <w:gridCol w:w="2844"/>
        <w:gridCol w:w="170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630" w:hRule="atLeast"/>
        </w:trPr>
        <w:tc>
          <w:tcPr>
            <w:tcW w:w="8180" w:type="dxa"/>
            <w:gridSpan w:val="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8"/>
                <w:szCs w:val="48"/>
                <w:u w:val="none"/>
              </w:rPr>
            </w:pPr>
            <w:r>
              <w:rPr>
                <w:rFonts w:hint="eastAsia" w:ascii="宋体" w:hAnsi="宋体" w:eastAsia="宋体" w:cs="宋体"/>
                <w:b/>
                <w:bCs/>
                <w:i w:val="0"/>
                <w:iCs w:val="0"/>
                <w:color w:val="000000"/>
                <w:kern w:val="0"/>
                <w:sz w:val="48"/>
                <w:szCs w:val="48"/>
                <w:u w:val="none"/>
                <w:lang w:val="en-US" w:eastAsia="zh-CN" w:bidi="ar"/>
              </w:rPr>
              <w:t>绩效目标申报表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0" w:hRule="atLeast"/>
        </w:trPr>
        <w:tc>
          <w:tcPr>
            <w:tcW w:w="8180" w:type="dxa"/>
            <w:gridSpan w:val="5"/>
            <w:tcBorders>
              <w:top w:val="nil"/>
              <w:left w:val="nil"/>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（2022年度）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60" w:hRule="atLeast"/>
        </w:trPr>
        <w:tc>
          <w:tcPr>
            <w:tcW w:w="1876"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项目名称</w:t>
            </w:r>
          </w:p>
        </w:tc>
        <w:tc>
          <w:tcPr>
            <w:tcW w:w="1756"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额敏县上户镇直属三村提升打造建设项目</w:t>
            </w:r>
          </w:p>
        </w:tc>
        <w:tc>
          <w:tcPr>
            <w:tcW w:w="2844"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项目负责人及联系电话</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蒋伟15160808022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00" w:hRule="atLeast"/>
        </w:trPr>
        <w:tc>
          <w:tcPr>
            <w:tcW w:w="18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主管部门</w:t>
            </w:r>
          </w:p>
        </w:tc>
        <w:tc>
          <w:tcPr>
            <w:tcW w:w="1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额敏县乡村振兴局</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实施单位</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额敏县上户镇人民政府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trPr>
        <w:tc>
          <w:tcPr>
            <w:tcW w:w="187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资金情况</w:t>
            </w:r>
            <w:r>
              <w:rPr>
                <w:rFonts w:hint="eastAsia" w:ascii="宋体" w:hAnsi="宋体" w:eastAsia="宋体" w:cs="宋体"/>
                <w:b/>
                <w:bCs/>
                <w:i w:val="0"/>
                <w:iCs w:val="0"/>
                <w:color w:val="000000"/>
                <w:kern w:val="0"/>
                <w:sz w:val="24"/>
                <w:szCs w:val="24"/>
                <w:u w:val="none"/>
                <w:lang w:val="en-US" w:eastAsia="zh-CN" w:bidi="ar"/>
              </w:rPr>
              <w:br w:type="textWrapping"/>
            </w:r>
            <w:r>
              <w:rPr>
                <w:rFonts w:hint="eastAsia" w:ascii="宋体" w:hAnsi="宋体" w:eastAsia="宋体" w:cs="宋体"/>
                <w:b/>
                <w:bCs/>
                <w:i w:val="0"/>
                <w:iCs w:val="0"/>
                <w:color w:val="000000"/>
                <w:kern w:val="0"/>
                <w:sz w:val="24"/>
                <w:szCs w:val="24"/>
                <w:u w:val="none"/>
                <w:lang w:val="en-US" w:eastAsia="zh-CN" w:bidi="ar"/>
              </w:rPr>
              <w:t>（万元）</w:t>
            </w:r>
          </w:p>
        </w:tc>
        <w:tc>
          <w:tcPr>
            <w:tcW w:w="1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100"/>
              <w:jc w:val="left"/>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年度资金总额：</w:t>
            </w:r>
          </w:p>
        </w:tc>
        <w:tc>
          <w:tcPr>
            <w:tcW w:w="45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293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trPr>
        <w:tc>
          <w:tcPr>
            <w:tcW w:w="187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100"/>
              <w:jc w:val="right"/>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其中：财政拨款</w:t>
            </w:r>
          </w:p>
        </w:tc>
        <w:tc>
          <w:tcPr>
            <w:tcW w:w="45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293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trPr>
        <w:tc>
          <w:tcPr>
            <w:tcW w:w="187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100"/>
              <w:jc w:val="right"/>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其他资金</w:t>
            </w:r>
          </w:p>
        </w:tc>
        <w:tc>
          <w:tcPr>
            <w:tcW w:w="45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trPr>
        <w:tc>
          <w:tcPr>
            <w:tcW w:w="840" w:type="dxa"/>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总体目标</w:t>
            </w:r>
          </w:p>
        </w:tc>
        <w:tc>
          <w:tcPr>
            <w:tcW w:w="734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年度目标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60" w:hRule="atLeast"/>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000000"/>
                <w:sz w:val="24"/>
                <w:szCs w:val="24"/>
                <w:u w:val="none"/>
              </w:rPr>
            </w:pPr>
          </w:p>
        </w:tc>
        <w:tc>
          <w:tcPr>
            <w:tcW w:w="734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计划新建防护设施3370米，场地硬化5480平方米及附属设施建设项目。通过项目实施大大改变了项目实施区域的生产生活条件，加快了新农村建设，为农村经济发展和农民就业创造了有利的条件,增加农民的收入。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95" w:hRule="atLeast"/>
        </w:trPr>
        <w:tc>
          <w:tcPr>
            <w:tcW w:w="840" w:type="dxa"/>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绩效指标</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一级指标</w:t>
            </w:r>
          </w:p>
        </w:tc>
        <w:tc>
          <w:tcPr>
            <w:tcW w:w="1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二级指标</w:t>
            </w:r>
          </w:p>
        </w:tc>
        <w:tc>
          <w:tcPr>
            <w:tcW w:w="2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三级指标</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000000"/>
                <w:sz w:val="24"/>
                <w:szCs w:val="24"/>
                <w:u w:val="none"/>
              </w:rPr>
            </w:pPr>
          </w:p>
        </w:tc>
        <w:tc>
          <w:tcPr>
            <w:tcW w:w="10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产出指标</w:t>
            </w:r>
          </w:p>
        </w:tc>
        <w:tc>
          <w:tcPr>
            <w:tcW w:w="17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数量指标</w:t>
            </w:r>
          </w:p>
        </w:tc>
        <w:tc>
          <w:tcPr>
            <w:tcW w:w="28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指标1：新建防护</w:t>
            </w:r>
          </w:p>
        </w:tc>
        <w:tc>
          <w:tcPr>
            <w:tcW w:w="1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=3370米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000000"/>
                <w:sz w:val="24"/>
                <w:szCs w:val="24"/>
                <w:u w:val="none"/>
              </w:rPr>
            </w:pPr>
          </w:p>
        </w:tc>
        <w:tc>
          <w:tcPr>
            <w:tcW w:w="10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7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8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指标2：新建场地硬化</w:t>
            </w:r>
          </w:p>
        </w:tc>
        <w:tc>
          <w:tcPr>
            <w:tcW w:w="1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=5480平方米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000000"/>
                <w:sz w:val="24"/>
                <w:szCs w:val="24"/>
                <w:u w:val="none"/>
              </w:rPr>
            </w:pPr>
          </w:p>
        </w:tc>
        <w:tc>
          <w:tcPr>
            <w:tcW w:w="10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质量指标</w:t>
            </w:r>
          </w:p>
        </w:tc>
        <w:tc>
          <w:tcPr>
            <w:tcW w:w="28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指标1：项目（工程）验收合格率</w:t>
            </w:r>
          </w:p>
        </w:tc>
        <w:tc>
          <w:tcPr>
            <w:tcW w:w="1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000000"/>
                <w:sz w:val="24"/>
                <w:szCs w:val="24"/>
                <w:u w:val="none"/>
              </w:rPr>
            </w:pPr>
          </w:p>
        </w:tc>
        <w:tc>
          <w:tcPr>
            <w:tcW w:w="10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7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时效指标</w:t>
            </w:r>
          </w:p>
        </w:tc>
        <w:tc>
          <w:tcPr>
            <w:tcW w:w="28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指标1：项目（工程）计划开工时间</w:t>
            </w:r>
          </w:p>
        </w:tc>
        <w:tc>
          <w:tcPr>
            <w:tcW w:w="1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2022年4月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000000"/>
                <w:sz w:val="24"/>
                <w:szCs w:val="24"/>
                <w:u w:val="none"/>
              </w:rPr>
            </w:pPr>
          </w:p>
        </w:tc>
        <w:tc>
          <w:tcPr>
            <w:tcW w:w="10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7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8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指标2：项目（工程）计划完工时间</w:t>
            </w:r>
          </w:p>
        </w:tc>
        <w:tc>
          <w:tcPr>
            <w:tcW w:w="1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2022年6月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000000"/>
                <w:sz w:val="24"/>
                <w:szCs w:val="24"/>
                <w:u w:val="none"/>
              </w:rPr>
            </w:pPr>
          </w:p>
        </w:tc>
        <w:tc>
          <w:tcPr>
            <w:tcW w:w="10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756"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成本指标</w:t>
            </w:r>
          </w:p>
        </w:tc>
        <w:tc>
          <w:tcPr>
            <w:tcW w:w="28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指标1：新建防护成本</w:t>
            </w:r>
          </w:p>
        </w:tc>
        <w:tc>
          <w:tcPr>
            <w:tcW w:w="1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≤93万元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000000"/>
                <w:sz w:val="24"/>
                <w:szCs w:val="24"/>
                <w:u w:val="none"/>
              </w:rPr>
            </w:pPr>
          </w:p>
        </w:tc>
        <w:tc>
          <w:tcPr>
            <w:tcW w:w="10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75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8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指标2：新建场地硬化成本</w:t>
            </w:r>
          </w:p>
        </w:tc>
        <w:tc>
          <w:tcPr>
            <w:tcW w:w="1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0" w:hRule="atLeast"/>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000000"/>
                <w:sz w:val="24"/>
                <w:szCs w:val="24"/>
                <w:u w:val="none"/>
              </w:rPr>
            </w:pPr>
          </w:p>
        </w:tc>
        <w:tc>
          <w:tcPr>
            <w:tcW w:w="1036" w:type="dxa"/>
            <w:vMerge w:val="restart"/>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效益指标</w:t>
            </w:r>
          </w:p>
        </w:tc>
        <w:tc>
          <w:tcPr>
            <w:tcW w:w="17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社会效益指标</w:t>
            </w:r>
          </w:p>
        </w:tc>
        <w:tc>
          <w:tcPr>
            <w:tcW w:w="28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指标1：项目受益村</w:t>
            </w:r>
          </w:p>
        </w:tc>
        <w:tc>
          <w:tcPr>
            <w:tcW w:w="1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0" w:hRule="atLeast"/>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000000"/>
                <w:sz w:val="24"/>
                <w:szCs w:val="24"/>
                <w:u w:val="none"/>
              </w:rPr>
            </w:pPr>
          </w:p>
        </w:tc>
        <w:tc>
          <w:tcPr>
            <w:tcW w:w="1036"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7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8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指标2：受益户数</w:t>
            </w:r>
          </w:p>
        </w:tc>
        <w:tc>
          <w:tcPr>
            <w:tcW w:w="1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≥86户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00" w:hRule="atLeast"/>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000000"/>
                <w:sz w:val="24"/>
                <w:szCs w:val="24"/>
                <w:u w:val="none"/>
              </w:rPr>
            </w:pPr>
          </w:p>
        </w:tc>
        <w:tc>
          <w:tcPr>
            <w:tcW w:w="1036"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75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生态效益指标</w:t>
            </w:r>
          </w:p>
        </w:tc>
        <w:tc>
          <w:tcPr>
            <w:tcW w:w="28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指标1：改善生活生产环境率</w:t>
            </w:r>
          </w:p>
        </w:tc>
        <w:tc>
          <w:tcPr>
            <w:tcW w:w="1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60" w:hRule="atLeast"/>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000000"/>
                <w:sz w:val="24"/>
                <w:szCs w:val="24"/>
                <w:u w:val="none"/>
              </w:rPr>
            </w:pPr>
          </w:p>
        </w:tc>
        <w:tc>
          <w:tcPr>
            <w:tcW w:w="1036"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可持续影响指标</w:t>
            </w:r>
          </w:p>
        </w:tc>
        <w:tc>
          <w:tcPr>
            <w:tcW w:w="28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指标1：工程设计使用年限</w:t>
            </w:r>
          </w:p>
        </w:tc>
        <w:tc>
          <w:tcPr>
            <w:tcW w:w="1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60" w:hRule="atLeast"/>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000000"/>
                <w:sz w:val="24"/>
                <w:szCs w:val="24"/>
                <w:u w:val="none"/>
              </w:rPr>
            </w:pPr>
          </w:p>
        </w:tc>
        <w:tc>
          <w:tcPr>
            <w:tcW w:w="1036"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经济效益指标</w:t>
            </w:r>
          </w:p>
        </w:tc>
        <w:tc>
          <w:tcPr>
            <w:tcW w:w="28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c>
          <w:tcPr>
            <w:tcW w:w="1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000000"/>
                <w:sz w:val="24"/>
                <w:szCs w:val="24"/>
                <w:u w:val="none"/>
              </w:rPr>
            </w:pP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满意度指标</w:t>
            </w:r>
          </w:p>
        </w:tc>
        <w:tc>
          <w:tcPr>
            <w:tcW w:w="1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服务对象满意度指标</w:t>
            </w:r>
          </w:p>
        </w:tc>
        <w:tc>
          <w:tcPr>
            <w:tcW w:w="28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指标1：受益户满意度</w:t>
            </w:r>
          </w:p>
        </w:tc>
        <w:tc>
          <w:tcPr>
            <w:tcW w:w="1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≥90%</w:t>
            </w:r>
          </w:p>
        </w:tc>
      </w:tr>
    </w:tbl>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ascii="黑体" w:hAnsi="黑体" w:eastAsia="黑体" w:cs="仿宋_GB2312"/>
          <w:b/>
          <w:color w:val="auto"/>
          <w:sz w:val="32"/>
          <w:szCs w:val="32"/>
        </w:rPr>
      </w:pPr>
      <w:r>
        <w:rPr>
          <w:rFonts w:hint="eastAsia" w:ascii="黑体" w:hAnsi="黑体" w:eastAsia="黑体" w:cs="仿宋_GB2312"/>
          <w:b/>
          <w:color w:val="auto"/>
          <w:sz w:val="32"/>
          <w:szCs w:val="32"/>
          <w:lang w:val="en-US" w:eastAsia="zh-CN"/>
        </w:rPr>
        <w:t>二</w:t>
      </w:r>
      <w:r>
        <w:rPr>
          <w:rFonts w:hint="eastAsia" w:ascii="黑体" w:hAnsi="黑体" w:eastAsia="黑体" w:cs="仿宋_GB2312"/>
          <w:b/>
          <w:color w:val="auto"/>
          <w:sz w:val="32"/>
          <w:szCs w:val="32"/>
        </w:rPr>
        <w:t>、绩效自评工作开展情况</w:t>
      </w: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（一）自评工作开展范围</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ascii="仿宋_GB2312" w:hAnsi="仿宋_GB2312" w:eastAsia="仿宋_GB2312" w:cs="仿宋_GB2312"/>
          <w:bCs/>
          <w:color w:val="auto"/>
          <w:sz w:val="32"/>
          <w:szCs w:val="32"/>
        </w:rPr>
      </w:pPr>
      <w:r>
        <w:rPr>
          <w:rFonts w:hint="eastAsia" w:ascii="仿宋_GB2312" w:hAnsi="仿宋_GB2312" w:eastAsia="仿宋_GB2312" w:cs="仿宋_GB2312"/>
          <w:color w:val="auto"/>
          <w:sz w:val="32"/>
          <w:szCs w:val="32"/>
        </w:rPr>
        <w:t>项目合计下达</w:t>
      </w:r>
      <w:r>
        <w:rPr>
          <w:rFonts w:hint="eastAsia" w:ascii="仿宋_GB2312" w:hAnsi="仿宋_GB2312" w:eastAsia="仿宋_GB2312" w:cs="仿宋_GB2312"/>
          <w:color w:val="auto"/>
          <w:sz w:val="32"/>
          <w:szCs w:val="32"/>
          <w:highlight w:val="none"/>
        </w:rPr>
        <w:t>资金</w:t>
      </w:r>
      <w:r>
        <w:rPr>
          <w:rFonts w:hint="eastAsia" w:ascii="仿宋_GB2312" w:hAnsi="仿宋_GB2312" w:eastAsia="仿宋_GB2312" w:cs="仿宋_GB2312"/>
          <w:color w:val="auto"/>
          <w:sz w:val="32"/>
          <w:szCs w:val="32"/>
          <w:highlight w:val="none"/>
          <w:lang w:val="en-US" w:eastAsia="zh-CN"/>
        </w:rPr>
        <w:t>293万</w:t>
      </w:r>
      <w:r>
        <w:rPr>
          <w:rFonts w:hint="eastAsia" w:ascii="仿宋_GB2312" w:hAnsi="仿宋_GB2312" w:eastAsia="仿宋_GB2312" w:cs="仿宋_GB2312"/>
          <w:color w:val="auto"/>
          <w:sz w:val="32"/>
          <w:szCs w:val="32"/>
          <w:highlight w:val="none"/>
        </w:rPr>
        <w:t>元。通过</w:t>
      </w:r>
      <w:r>
        <w:rPr>
          <w:rFonts w:hint="eastAsia" w:ascii="仿宋_GB2312" w:hAnsi="仿宋_GB2312" w:eastAsia="仿宋_GB2312" w:cs="仿宋_GB2312"/>
          <w:bCs/>
          <w:color w:val="auto"/>
          <w:sz w:val="32"/>
          <w:szCs w:val="32"/>
        </w:rPr>
        <w:t>分析该项目资金使用、管理和项目实施等情况，规范项目申报、公示、审批、实施、监管、验收及资金发放等程序，对项目主管单位和实施单位的资金分配、管理等制度进行开展自评工作。</w:t>
      </w: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（二）自评工作开展对象</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根据《国务院办公厅关于转发&lt;财政部、国务院扶贫办、国家发展改革委扶贫项目资金绩效管理办法&gt;的通知》（国办发〔2018〕35号）和《</w:t>
      </w:r>
      <w:r>
        <w:rPr>
          <w:rFonts w:hint="eastAsia" w:ascii="仿宋_GB2312" w:hAnsi="仿宋_GB2312" w:eastAsia="仿宋_GB2312" w:cs="仿宋_GB2312"/>
          <w:bCs/>
          <w:color w:val="auto"/>
          <w:sz w:val="32"/>
          <w:szCs w:val="32"/>
          <w:lang w:val="en-US" w:eastAsia="zh-CN"/>
        </w:rPr>
        <w:t>中央财政衔接推进乡村振兴补助资金管理办法</w:t>
      </w:r>
      <w:r>
        <w:rPr>
          <w:rFonts w:hint="eastAsia" w:ascii="仿宋_GB2312" w:hAnsi="仿宋_GB2312" w:eastAsia="仿宋_GB2312" w:cs="仿宋_GB2312"/>
          <w:bCs/>
          <w:color w:val="auto"/>
          <w:sz w:val="32"/>
          <w:szCs w:val="32"/>
        </w:rPr>
        <w:t>》（财</w:t>
      </w:r>
      <w:r>
        <w:rPr>
          <w:rFonts w:hint="eastAsia" w:ascii="仿宋_GB2312" w:hAnsi="仿宋_GB2312" w:eastAsia="仿宋_GB2312" w:cs="仿宋_GB2312"/>
          <w:bCs/>
          <w:color w:val="auto"/>
          <w:sz w:val="32"/>
          <w:szCs w:val="32"/>
          <w:lang w:val="en-US" w:eastAsia="zh-CN"/>
        </w:rPr>
        <w:t>农</w:t>
      </w:r>
      <w:r>
        <w:rPr>
          <w:rFonts w:hint="eastAsia" w:ascii="仿宋_GB2312" w:hAnsi="仿宋_GB2312" w:eastAsia="仿宋_GB2312" w:cs="仿宋_GB2312"/>
          <w:bCs/>
          <w:color w:val="auto"/>
          <w:sz w:val="32"/>
          <w:szCs w:val="32"/>
        </w:rPr>
        <w:t>〔</w:t>
      </w:r>
      <w:r>
        <w:rPr>
          <w:rFonts w:hint="eastAsia" w:ascii="仿宋_GB2312" w:hAnsi="仿宋_GB2312" w:eastAsia="仿宋_GB2312" w:cs="仿宋_GB2312"/>
          <w:bCs/>
          <w:color w:val="auto"/>
          <w:sz w:val="32"/>
          <w:szCs w:val="32"/>
          <w:lang w:val="en-US" w:eastAsia="zh-CN"/>
        </w:rPr>
        <w:t>2021</w:t>
      </w:r>
      <w:r>
        <w:rPr>
          <w:rFonts w:hint="eastAsia" w:ascii="仿宋_GB2312" w:hAnsi="仿宋_GB2312" w:eastAsia="仿宋_GB2312" w:cs="仿宋_GB2312"/>
          <w:bCs/>
          <w:color w:val="auto"/>
          <w:sz w:val="32"/>
          <w:szCs w:val="32"/>
        </w:rPr>
        <w:t>〕</w:t>
      </w:r>
      <w:r>
        <w:rPr>
          <w:rFonts w:hint="eastAsia" w:ascii="仿宋_GB2312" w:hAnsi="仿宋_GB2312" w:eastAsia="仿宋_GB2312" w:cs="仿宋_GB2312"/>
          <w:bCs/>
          <w:color w:val="auto"/>
          <w:sz w:val="32"/>
          <w:szCs w:val="32"/>
          <w:lang w:val="en-US" w:eastAsia="zh-CN"/>
        </w:rPr>
        <w:t>19</w:t>
      </w:r>
      <w:r>
        <w:rPr>
          <w:rFonts w:hint="eastAsia" w:ascii="仿宋_GB2312" w:hAnsi="仿宋_GB2312" w:eastAsia="仿宋_GB2312" w:cs="仿宋_GB2312"/>
          <w:bCs/>
          <w:color w:val="auto"/>
          <w:sz w:val="32"/>
          <w:szCs w:val="32"/>
        </w:rPr>
        <w:t>号）等文件精神，及《新疆维吾尔自治区县级扶贫项目资金绩效管理操作指南（试行）》，对本项目的预算资金执行情况及绩效目标的完成情况开展自评。</w:t>
      </w: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ascii="仿宋_GB2312" w:hAnsi="仿宋_GB2312" w:eastAsia="仿宋_GB2312" w:cs="仿宋_GB2312"/>
          <w:b/>
          <w:color w:val="auto"/>
          <w:sz w:val="32"/>
          <w:szCs w:val="32"/>
          <w:highlight w:val="yellow"/>
        </w:rPr>
      </w:pPr>
      <w:r>
        <w:rPr>
          <w:rFonts w:hint="eastAsia" w:ascii="仿宋_GB2312" w:hAnsi="仿宋_GB2312" w:eastAsia="仿宋_GB2312" w:cs="仿宋_GB2312"/>
          <w:b/>
          <w:color w:val="auto"/>
          <w:sz w:val="32"/>
          <w:szCs w:val="32"/>
        </w:rPr>
        <w:t>（三）自评工作开展时间</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lang w:eastAsia="zh-CN"/>
        </w:rPr>
        <w:t>202</w:t>
      </w:r>
      <w:r>
        <w:rPr>
          <w:rFonts w:hint="eastAsia" w:ascii="仿宋_GB2312" w:hAnsi="仿宋_GB2312" w:eastAsia="仿宋_GB2312" w:cs="仿宋_GB2312"/>
          <w:bCs/>
          <w:color w:val="auto"/>
          <w:sz w:val="32"/>
          <w:szCs w:val="32"/>
          <w:lang w:val="en-US" w:eastAsia="zh-CN"/>
        </w:rPr>
        <w:t>3</w:t>
      </w:r>
      <w:r>
        <w:rPr>
          <w:rFonts w:hint="eastAsia" w:ascii="仿宋_GB2312" w:hAnsi="仿宋_GB2312" w:eastAsia="仿宋_GB2312" w:cs="仿宋_GB2312"/>
          <w:bCs/>
          <w:color w:val="auto"/>
          <w:sz w:val="32"/>
          <w:szCs w:val="32"/>
        </w:rPr>
        <w:t>年</w:t>
      </w:r>
      <w:r>
        <w:rPr>
          <w:rFonts w:hint="eastAsia" w:ascii="仿宋_GB2312" w:hAnsi="仿宋_GB2312" w:eastAsia="仿宋_GB2312" w:cs="仿宋_GB2312"/>
          <w:bCs/>
          <w:color w:val="auto"/>
          <w:sz w:val="32"/>
          <w:szCs w:val="32"/>
          <w:lang w:val="en-US" w:eastAsia="zh-CN"/>
        </w:rPr>
        <w:t>1</w:t>
      </w:r>
      <w:r>
        <w:rPr>
          <w:rFonts w:hint="eastAsia" w:ascii="仿宋_GB2312" w:hAnsi="仿宋_GB2312" w:eastAsia="仿宋_GB2312" w:cs="仿宋_GB2312"/>
          <w:bCs/>
          <w:color w:val="auto"/>
          <w:sz w:val="32"/>
          <w:szCs w:val="32"/>
        </w:rPr>
        <w:t>月</w:t>
      </w:r>
      <w:r>
        <w:rPr>
          <w:rFonts w:hint="eastAsia" w:ascii="仿宋_GB2312" w:hAnsi="仿宋_GB2312" w:eastAsia="仿宋_GB2312" w:cs="仿宋_GB2312"/>
          <w:bCs/>
          <w:color w:val="auto"/>
          <w:sz w:val="32"/>
          <w:szCs w:val="32"/>
          <w:lang w:val="en-US" w:eastAsia="zh-CN"/>
        </w:rPr>
        <w:t>1</w:t>
      </w:r>
      <w:r>
        <w:rPr>
          <w:rFonts w:hint="eastAsia" w:ascii="仿宋_GB2312" w:hAnsi="仿宋_GB2312" w:eastAsia="仿宋_GB2312" w:cs="仿宋_GB2312"/>
          <w:bCs/>
          <w:color w:val="auto"/>
          <w:sz w:val="32"/>
          <w:szCs w:val="32"/>
        </w:rPr>
        <w:t>日至</w:t>
      </w:r>
      <w:r>
        <w:rPr>
          <w:rFonts w:hint="eastAsia" w:ascii="仿宋_GB2312" w:hAnsi="仿宋_GB2312" w:eastAsia="仿宋_GB2312" w:cs="仿宋_GB2312"/>
          <w:bCs/>
          <w:color w:val="auto"/>
          <w:sz w:val="32"/>
          <w:szCs w:val="32"/>
          <w:lang w:eastAsia="zh-CN"/>
        </w:rPr>
        <w:t>202</w:t>
      </w:r>
      <w:r>
        <w:rPr>
          <w:rFonts w:hint="eastAsia" w:ascii="仿宋_GB2312" w:hAnsi="仿宋_GB2312" w:eastAsia="仿宋_GB2312" w:cs="仿宋_GB2312"/>
          <w:bCs/>
          <w:color w:val="auto"/>
          <w:sz w:val="32"/>
          <w:szCs w:val="32"/>
          <w:lang w:val="en-US" w:eastAsia="zh-CN"/>
        </w:rPr>
        <w:t>3</w:t>
      </w:r>
      <w:r>
        <w:rPr>
          <w:rFonts w:hint="eastAsia" w:ascii="仿宋_GB2312" w:hAnsi="仿宋_GB2312" w:eastAsia="仿宋_GB2312" w:cs="仿宋_GB2312"/>
          <w:bCs/>
          <w:color w:val="auto"/>
          <w:sz w:val="32"/>
          <w:szCs w:val="32"/>
        </w:rPr>
        <w:t>年</w:t>
      </w:r>
      <w:r>
        <w:rPr>
          <w:rFonts w:hint="eastAsia" w:ascii="仿宋_GB2312" w:hAnsi="仿宋_GB2312" w:eastAsia="仿宋_GB2312" w:cs="仿宋_GB2312"/>
          <w:bCs/>
          <w:color w:val="auto"/>
          <w:sz w:val="32"/>
          <w:szCs w:val="32"/>
          <w:lang w:val="en-US" w:eastAsia="zh-CN"/>
        </w:rPr>
        <w:t>3</w:t>
      </w:r>
      <w:r>
        <w:rPr>
          <w:rFonts w:hint="eastAsia" w:ascii="仿宋_GB2312" w:hAnsi="仿宋_GB2312" w:eastAsia="仿宋_GB2312" w:cs="仿宋_GB2312"/>
          <w:bCs/>
          <w:color w:val="auto"/>
          <w:sz w:val="32"/>
          <w:szCs w:val="32"/>
        </w:rPr>
        <w:t>月</w:t>
      </w:r>
      <w:r>
        <w:rPr>
          <w:rFonts w:hint="eastAsia" w:ascii="仿宋_GB2312" w:hAnsi="仿宋_GB2312" w:eastAsia="仿宋_GB2312" w:cs="仿宋_GB2312"/>
          <w:bCs/>
          <w:color w:val="auto"/>
          <w:sz w:val="32"/>
          <w:szCs w:val="32"/>
          <w:lang w:val="en-US" w:eastAsia="zh-CN"/>
        </w:rPr>
        <w:t>15</w:t>
      </w:r>
      <w:r>
        <w:rPr>
          <w:rFonts w:hint="eastAsia" w:ascii="仿宋_GB2312" w:hAnsi="仿宋_GB2312" w:eastAsia="仿宋_GB2312" w:cs="仿宋_GB2312"/>
          <w:bCs/>
          <w:color w:val="auto"/>
          <w:sz w:val="32"/>
          <w:szCs w:val="32"/>
        </w:rPr>
        <w:t>日开展自评工作。</w:t>
      </w: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（四）自评工作开展方式</w:t>
      </w: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ascii="仿宋_GB2312" w:hAnsi="仿宋_GB2312" w:eastAsia="仿宋_GB2312" w:cs="仿宋_GB2312"/>
          <w:b/>
          <w:color w:val="auto"/>
          <w:sz w:val="32"/>
          <w:szCs w:val="32"/>
        </w:rPr>
      </w:pPr>
      <w:r>
        <w:rPr>
          <w:rFonts w:ascii="仿宋_GB2312" w:hAnsi="仿宋_GB2312" w:eastAsia="仿宋_GB2312" w:cs="仿宋_GB2312"/>
          <w:b/>
          <w:color w:val="auto"/>
          <w:sz w:val="32"/>
          <w:szCs w:val="32"/>
        </w:rPr>
        <w:t>1</w:t>
      </w:r>
      <w:r>
        <w:rPr>
          <w:rFonts w:hint="eastAsia" w:ascii="仿宋_GB2312" w:hAnsi="仿宋_GB2312" w:eastAsia="仿宋_GB2312" w:cs="仿宋_GB2312"/>
          <w:b/>
          <w:color w:val="auto"/>
          <w:sz w:val="32"/>
          <w:szCs w:val="32"/>
        </w:rPr>
        <w:t>、前期准备</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（1）整理项目全过程资料建档：资金及项目内容批复文件、绩效目标申报表、实施方案、验收等作为评价基础资料。</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（2）由本单位、主管科室、财务等人员组成评价组。</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ascii="仿宋_GB2312" w:hAnsi="仿宋_GB2312" w:eastAsia="仿宋_GB2312" w:cs="仿宋_GB2312"/>
          <w:b/>
          <w:color w:val="auto"/>
          <w:sz w:val="32"/>
          <w:szCs w:val="32"/>
        </w:rPr>
      </w:pPr>
      <w:r>
        <w:rPr>
          <w:rFonts w:hint="eastAsia" w:ascii="仿宋_GB2312" w:hAnsi="仿宋_GB2312" w:eastAsia="仿宋_GB2312" w:cs="仿宋_GB2312"/>
          <w:bCs/>
          <w:color w:val="auto"/>
          <w:sz w:val="32"/>
          <w:szCs w:val="32"/>
        </w:rPr>
        <w:t>（3）自评工作组采取“目标预定与实施效果比较法”进行评价，评价指标体系以绩效目标申报表中的指标为依据。</w:t>
      </w: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ascii="仿宋_GB2312" w:hAnsi="仿宋_GB2312" w:eastAsia="仿宋_GB2312" w:cs="仿宋_GB2312"/>
          <w:b/>
          <w:color w:val="auto"/>
          <w:sz w:val="32"/>
          <w:szCs w:val="32"/>
        </w:rPr>
      </w:pPr>
      <w:r>
        <w:rPr>
          <w:rFonts w:ascii="仿宋_GB2312" w:hAnsi="仿宋_GB2312" w:eastAsia="仿宋_GB2312" w:cs="仿宋_GB2312"/>
          <w:b/>
          <w:color w:val="auto"/>
          <w:sz w:val="32"/>
          <w:szCs w:val="32"/>
        </w:rPr>
        <w:t>2</w:t>
      </w:r>
      <w:r>
        <w:rPr>
          <w:rFonts w:hint="eastAsia" w:ascii="仿宋_GB2312" w:hAnsi="仿宋_GB2312" w:eastAsia="仿宋_GB2312" w:cs="仿宋_GB2312"/>
          <w:b/>
          <w:color w:val="auto"/>
          <w:sz w:val="32"/>
          <w:szCs w:val="32"/>
        </w:rPr>
        <w:t>、组织过程</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（1）采取现场和非现场评价相结合的方式实施评价，核查核实评价基础资料。</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ascii="仿宋_GB2312" w:hAnsi="仿宋_GB2312" w:eastAsia="仿宋_GB2312" w:cs="仿宋_GB2312"/>
          <w:b/>
          <w:color w:val="auto"/>
          <w:sz w:val="32"/>
          <w:szCs w:val="32"/>
        </w:rPr>
      </w:pPr>
      <w:r>
        <w:rPr>
          <w:rFonts w:hint="eastAsia" w:ascii="仿宋_GB2312" w:hAnsi="仿宋_GB2312" w:eastAsia="仿宋_GB2312" w:cs="仿宋_GB2312"/>
          <w:bCs/>
          <w:color w:val="auto"/>
          <w:sz w:val="32"/>
          <w:szCs w:val="32"/>
        </w:rPr>
        <w:t>（2）记录工作底稿并经项目负责人和经办人签字确认。需要调查问卷的，发放调查问卷开展满意度调查工作。</w:t>
      </w: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ascii="仿宋_GB2312" w:hAnsi="仿宋_GB2312" w:eastAsia="仿宋_GB2312" w:cs="仿宋_GB2312"/>
          <w:b/>
          <w:color w:val="auto"/>
          <w:sz w:val="32"/>
          <w:szCs w:val="32"/>
        </w:rPr>
      </w:pPr>
      <w:r>
        <w:rPr>
          <w:rFonts w:ascii="仿宋_GB2312" w:hAnsi="仿宋_GB2312" w:eastAsia="仿宋_GB2312" w:cs="仿宋_GB2312"/>
          <w:b/>
          <w:color w:val="auto"/>
          <w:sz w:val="32"/>
          <w:szCs w:val="32"/>
        </w:rPr>
        <w:t>3</w:t>
      </w:r>
      <w:r>
        <w:rPr>
          <w:rFonts w:hint="eastAsia" w:ascii="仿宋_GB2312" w:hAnsi="仿宋_GB2312" w:eastAsia="仿宋_GB2312" w:cs="仿宋_GB2312"/>
          <w:b/>
          <w:color w:val="auto"/>
          <w:sz w:val="32"/>
          <w:szCs w:val="32"/>
        </w:rPr>
        <w:t>、分析评价</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ascii="仿宋_GB2312" w:hAnsi="仿宋_GB2312" w:eastAsia="仿宋_GB2312" w:cs="仿宋_GB2312"/>
          <w:b/>
          <w:color w:val="auto"/>
          <w:sz w:val="32"/>
          <w:szCs w:val="32"/>
        </w:rPr>
      </w:pPr>
      <w:r>
        <w:rPr>
          <w:rFonts w:hint="eastAsia" w:ascii="仿宋_GB2312" w:hAnsi="仿宋_GB2312" w:eastAsia="仿宋_GB2312" w:cs="仿宋_GB2312"/>
          <w:bCs/>
          <w:color w:val="auto"/>
          <w:sz w:val="32"/>
          <w:szCs w:val="32"/>
        </w:rPr>
        <w:t>对采集的数据资料进行复核汇总、分类整理和综合分析，按照设立的评价指标、标准、权重、方法实施评价，并形成评价结论。</w:t>
      </w: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ascii="黑体" w:hAnsi="黑体" w:eastAsia="黑体" w:cs="仿宋_GB2312"/>
          <w:b/>
          <w:color w:val="auto"/>
          <w:sz w:val="32"/>
          <w:szCs w:val="32"/>
        </w:rPr>
      </w:pPr>
      <w:r>
        <w:rPr>
          <w:rFonts w:hint="eastAsia" w:ascii="黑体" w:hAnsi="黑体" w:eastAsia="黑体" w:cs="仿宋_GB2312"/>
          <w:b/>
          <w:color w:val="auto"/>
          <w:sz w:val="32"/>
          <w:szCs w:val="32"/>
          <w:lang w:val="en-US" w:eastAsia="zh-CN"/>
        </w:rPr>
        <w:t>三</w:t>
      </w:r>
      <w:r>
        <w:rPr>
          <w:rFonts w:hint="eastAsia" w:ascii="黑体" w:hAnsi="黑体" w:eastAsia="黑体" w:cs="仿宋_GB2312"/>
          <w:b/>
          <w:color w:val="auto"/>
          <w:sz w:val="32"/>
          <w:szCs w:val="32"/>
        </w:rPr>
        <w:t>、绩效目标自评完成情况分析</w:t>
      </w: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ascii="黑体" w:hAnsi="黑体" w:eastAsia="黑体" w:cs="仿宋_GB2312"/>
          <w:b/>
          <w:color w:val="auto"/>
          <w:sz w:val="32"/>
          <w:szCs w:val="32"/>
        </w:rPr>
      </w:pPr>
      <w:r>
        <w:rPr>
          <w:rFonts w:hint="eastAsia" w:ascii="仿宋_GB2312" w:hAnsi="仿宋_GB2312" w:eastAsia="仿宋_GB2312" w:cs="仿宋_GB2312"/>
          <w:b/>
          <w:color w:val="auto"/>
          <w:sz w:val="32"/>
          <w:szCs w:val="32"/>
        </w:rPr>
        <w:t>（一）资金投入情况分析</w:t>
      </w: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1.项目资金到位情况分析</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ascii="仿宋_GB2312" w:hAnsi="仿宋_GB2312" w:eastAsia="仿宋_GB2312" w:cs="仿宋_GB2312"/>
          <w:bCs/>
          <w:color w:val="auto"/>
          <w:sz w:val="32"/>
          <w:szCs w:val="32"/>
        </w:rPr>
      </w:pPr>
      <w:r>
        <w:rPr>
          <w:rFonts w:hint="eastAsia" w:ascii="仿宋_GB2312" w:hAnsi="仿宋_GB2312" w:eastAsia="仿宋_GB2312" w:cs="仿宋_GB2312"/>
          <w:color w:val="auto"/>
          <w:sz w:val="32"/>
          <w:szCs w:val="32"/>
        </w:rPr>
        <w:t>本项目全部预算资金</w:t>
      </w:r>
      <w:r>
        <w:rPr>
          <w:rFonts w:hint="eastAsia" w:ascii="仿宋_GB2312" w:hAnsi="仿宋_GB2312" w:eastAsia="仿宋_GB2312" w:cs="仿宋_GB2312"/>
          <w:color w:val="auto"/>
          <w:sz w:val="32"/>
          <w:szCs w:val="32"/>
          <w:lang w:val="en-US" w:eastAsia="zh-CN"/>
        </w:rPr>
        <w:t>293</w:t>
      </w:r>
      <w:r>
        <w:rPr>
          <w:rFonts w:hint="eastAsia" w:ascii="仿宋_GB2312" w:hAnsi="仿宋_GB2312" w:eastAsia="仿宋_GB2312" w:cs="仿宋_GB2312"/>
          <w:color w:val="auto"/>
          <w:sz w:val="32"/>
          <w:szCs w:val="32"/>
        </w:rPr>
        <w:t>万元，实际到位</w:t>
      </w:r>
      <w:r>
        <w:rPr>
          <w:rFonts w:hint="eastAsia" w:ascii="仿宋_GB2312" w:hAnsi="仿宋_GB2312" w:eastAsia="仿宋_GB2312" w:cs="仿宋_GB2312"/>
          <w:color w:val="auto"/>
          <w:sz w:val="32"/>
          <w:szCs w:val="32"/>
          <w:lang w:val="en-US" w:eastAsia="zh-CN"/>
        </w:rPr>
        <w:t>293</w:t>
      </w:r>
      <w:r>
        <w:rPr>
          <w:rFonts w:hint="eastAsia" w:ascii="仿宋_GB2312" w:hAnsi="仿宋_GB2312" w:eastAsia="仿宋_GB2312" w:cs="仿宋_GB2312"/>
          <w:color w:val="auto"/>
          <w:sz w:val="32"/>
          <w:szCs w:val="32"/>
        </w:rPr>
        <w:t>万元，全部为中央</w:t>
      </w:r>
      <w:r>
        <w:rPr>
          <w:rFonts w:hint="eastAsia" w:ascii="仿宋_GB2312" w:hAnsi="仿宋_GB2312" w:eastAsia="仿宋_GB2312" w:cs="仿宋_GB2312"/>
          <w:color w:val="auto"/>
          <w:sz w:val="32"/>
          <w:szCs w:val="32"/>
          <w:lang w:eastAsia="zh-CN"/>
        </w:rPr>
        <w:t>财政衔接推进乡村振兴补助资金</w:t>
      </w:r>
      <w:r>
        <w:rPr>
          <w:rFonts w:hint="eastAsia" w:ascii="仿宋_GB2312" w:hAnsi="仿宋_GB2312" w:eastAsia="仿宋_GB2312" w:cs="仿宋_GB2312"/>
          <w:color w:val="auto"/>
          <w:sz w:val="32"/>
          <w:szCs w:val="32"/>
        </w:rPr>
        <w:t>，资金</w:t>
      </w:r>
      <w:r>
        <w:rPr>
          <w:rFonts w:hint="eastAsia" w:ascii="仿宋_GB2312" w:hAnsi="仿宋_GB2312" w:eastAsia="仿宋_GB2312" w:cs="仿宋_GB2312"/>
          <w:bCs/>
          <w:color w:val="auto"/>
          <w:sz w:val="32"/>
          <w:szCs w:val="32"/>
        </w:rPr>
        <w:t>预算到位率100%。</w:t>
      </w: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2.项目资金执行情况分析</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本项目全部预算资金</w:t>
      </w:r>
      <w:r>
        <w:rPr>
          <w:rFonts w:hint="eastAsia" w:ascii="仿宋_GB2312" w:hAnsi="仿宋_GB2312" w:eastAsia="仿宋_GB2312" w:cs="仿宋_GB2312"/>
          <w:color w:val="auto"/>
          <w:sz w:val="32"/>
          <w:szCs w:val="32"/>
          <w:highlight w:val="none"/>
          <w:lang w:val="en-US" w:eastAsia="zh-CN"/>
        </w:rPr>
        <w:t>293</w:t>
      </w:r>
      <w:r>
        <w:rPr>
          <w:rFonts w:hint="eastAsia" w:ascii="仿宋_GB2312" w:hAnsi="仿宋_GB2312" w:eastAsia="仿宋_GB2312" w:cs="仿宋_GB2312"/>
          <w:color w:val="auto"/>
          <w:sz w:val="32"/>
          <w:szCs w:val="32"/>
          <w:highlight w:val="none"/>
        </w:rPr>
        <w:t>万元，全年执行数</w:t>
      </w:r>
      <w:r>
        <w:rPr>
          <w:rFonts w:hint="eastAsia" w:ascii="仿宋_GB2312" w:hAnsi="仿宋_GB2312" w:eastAsia="仿宋_GB2312" w:cs="仿宋_GB2312"/>
          <w:color w:val="auto"/>
          <w:sz w:val="32"/>
          <w:szCs w:val="32"/>
          <w:highlight w:val="none"/>
          <w:lang w:val="en-US" w:eastAsia="zh-CN"/>
        </w:rPr>
        <w:t>277.31</w:t>
      </w:r>
      <w:r>
        <w:rPr>
          <w:rFonts w:hint="eastAsia" w:ascii="仿宋_GB2312" w:hAnsi="仿宋_GB2312" w:eastAsia="仿宋_GB2312" w:cs="仿宋_GB2312"/>
          <w:color w:val="auto"/>
          <w:sz w:val="32"/>
          <w:szCs w:val="32"/>
          <w:highlight w:val="none"/>
        </w:rPr>
        <w:t>万元，资金执行率</w:t>
      </w:r>
      <w:r>
        <w:rPr>
          <w:rFonts w:hint="eastAsia" w:ascii="仿宋_GB2312" w:hAnsi="仿宋_GB2312" w:eastAsia="仿宋_GB2312" w:cs="仿宋_GB2312"/>
          <w:color w:val="auto"/>
          <w:sz w:val="32"/>
          <w:szCs w:val="32"/>
          <w:highlight w:val="none"/>
          <w:lang w:val="en-US" w:eastAsia="zh-CN"/>
        </w:rPr>
        <w:t>95</w:t>
      </w:r>
      <w:r>
        <w:rPr>
          <w:rFonts w:hint="eastAsia" w:ascii="仿宋_GB2312" w:hAnsi="仿宋_GB2312" w:eastAsia="仿宋_GB2312" w:cs="仿宋_GB2312"/>
          <w:color w:val="auto"/>
          <w:sz w:val="32"/>
          <w:szCs w:val="32"/>
          <w:highlight w:val="none"/>
        </w:rPr>
        <w:t>%。</w:t>
      </w: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3.项目资金管理情况分析</w:t>
      </w:r>
    </w:p>
    <w:p>
      <w:pPr>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资金投入情况：该项目年初预算数</w:t>
      </w:r>
      <w:r>
        <w:rPr>
          <w:rFonts w:hint="eastAsia" w:ascii="仿宋_GB2312" w:hAnsi="仿宋_GB2312" w:cs="仿宋_GB2312"/>
          <w:color w:val="auto"/>
          <w:sz w:val="32"/>
          <w:szCs w:val="32"/>
          <w:lang w:val="en-US" w:eastAsia="zh-CN"/>
        </w:rPr>
        <w:t>293</w:t>
      </w:r>
      <w:r>
        <w:rPr>
          <w:rFonts w:hint="eastAsia" w:ascii="仿宋_GB2312" w:hAnsi="仿宋_GB2312" w:eastAsia="仿宋_GB2312" w:cs="仿宋_GB2312"/>
          <w:color w:val="auto"/>
          <w:sz w:val="32"/>
          <w:szCs w:val="32"/>
        </w:rPr>
        <w:t>万元，全年预算数</w:t>
      </w:r>
      <w:r>
        <w:rPr>
          <w:rFonts w:hint="eastAsia" w:ascii="仿宋_GB2312" w:hAnsi="仿宋_GB2312" w:cs="仿宋_GB2312"/>
          <w:color w:val="auto"/>
          <w:sz w:val="32"/>
          <w:szCs w:val="32"/>
          <w:lang w:val="en-US" w:eastAsia="zh-CN"/>
        </w:rPr>
        <w:t>293</w:t>
      </w:r>
      <w:r>
        <w:rPr>
          <w:rFonts w:hint="eastAsia" w:ascii="仿宋_GB2312" w:hAnsi="仿宋_GB2312" w:eastAsia="仿宋_GB2312" w:cs="仿宋_GB2312"/>
          <w:color w:val="auto"/>
          <w:sz w:val="32"/>
          <w:szCs w:val="32"/>
        </w:rPr>
        <w:t>万元，实际总投入</w:t>
      </w:r>
      <w:r>
        <w:rPr>
          <w:rFonts w:hint="eastAsia" w:ascii="仿宋_GB2312" w:hAnsi="仿宋_GB2312" w:cs="仿宋_GB2312"/>
          <w:color w:val="auto"/>
          <w:sz w:val="32"/>
          <w:szCs w:val="32"/>
          <w:lang w:val="en-US" w:eastAsia="zh-CN"/>
        </w:rPr>
        <w:t>293</w:t>
      </w:r>
      <w:r>
        <w:rPr>
          <w:rFonts w:hint="eastAsia" w:ascii="仿宋_GB2312" w:hAnsi="仿宋_GB2312" w:eastAsia="仿宋_GB2312" w:cs="仿宋_GB2312"/>
          <w:color w:val="auto"/>
          <w:sz w:val="32"/>
          <w:szCs w:val="32"/>
        </w:rPr>
        <w:t>万元，该项目资金已全部落实到位,资金来源为财政拨款资金。</w:t>
      </w:r>
    </w:p>
    <w:p>
      <w:pPr>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hint="eastAsia" w:ascii="仿宋_GB2312" w:hAnsi="仿宋_GB2312" w:eastAsia="仿宋_GB2312" w:cs="仿宋_GB2312"/>
          <w:b/>
          <w:color w:val="auto"/>
          <w:sz w:val="32"/>
          <w:szCs w:val="32"/>
        </w:rPr>
      </w:pPr>
      <w:r>
        <w:rPr>
          <w:rFonts w:hint="eastAsia" w:ascii="仿宋_GB2312" w:hAnsi="仿宋_GB2312" w:eastAsia="仿宋_GB2312" w:cs="仿宋_GB2312"/>
          <w:color w:val="auto"/>
          <w:sz w:val="32"/>
          <w:szCs w:val="32"/>
        </w:rPr>
        <w:t>资金使用情况：该项目年初预算数</w:t>
      </w:r>
      <w:r>
        <w:rPr>
          <w:rFonts w:hint="eastAsia" w:ascii="仿宋_GB2312" w:hAnsi="仿宋_GB2312" w:cs="仿宋_GB2312"/>
          <w:color w:val="auto"/>
          <w:sz w:val="32"/>
          <w:szCs w:val="32"/>
          <w:lang w:val="en-US" w:eastAsia="zh-CN"/>
        </w:rPr>
        <w:t>293</w:t>
      </w:r>
      <w:r>
        <w:rPr>
          <w:rFonts w:hint="eastAsia" w:ascii="仿宋_GB2312" w:hAnsi="仿宋_GB2312" w:eastAsia="仿宋_GB2312" w:cs="仿宋_GB2312"/>
          <w:color w:val="auto"/>
          <w:sz w:val="32"/>
          <w:szCs w:val="32"/>
        </w:rPr>
        <w:t>万元，全年预算数</w:t>
      </w:r>
      <w:r>
        <w:rPr>
          <w:rFonts w:hint="eastAsia" w:ascii="仿宋_GB2312" w:hAnsi="仿宋_GB2312" w:cs="仿宋_GB2312"/>
          <w:color w:val="auto"/>
          <w:sz w:val="32"/>
          <w:szCs w:val="32"/>
          <w:lang w:val="en-US" w:eastAsia="zh-CN"/>
        </w:rPr>
        <w:t>293</w:t>
      </w:r>
      <w:r>
        <w:rPr>
          <w:rFonts w:hint="eastAsia" w:ascii="仿宋_GB2312" w:hAnsi="仿宋_GB2312" w:eastAsia="仿宋_GB2312" w:cs="仿宋_GB2312"/>
          <w:color w:val="auto"/>
          <w:sz w:val="32"/>
          <w:szCs w:val="32"/>
        </w:rPr>
        <w:t>万元，全年执行数</w:t>
      </w:r>
      <w:r>
        <w:rPr>
          <w:rFonts w:hint="eastAsia" w:ascii="仿宋_GB2312" w:hAnsi="仿宋_GB2312" w:cs="仿宋_GB2312"/>
          <w:color w:val="auto"/>
          <w:sz w:val="32"/>
          <w:szCs w:val="32"/>
          <w:highlight w:val="none"/>
          <w:lang w:val="en-US" w:eastAsia="zh-CN"/>
        </w:rPr>
        <w:t>277.31</w:t>
      </w:r>
      <w:r>
        <w:rPr>
          <w:rFonts w:hint="eastAsia" w:ascii="仿宋_GB2312" w:hAnsi="仿宋_GB2312" w:eastAsia="仿宋_GB2312" w:cs="仿宋_GB2312"/>
          <w:color w:val="auto"/>
          <w:sz w:val="32"/>
          <w:szCs w:val="32"/>
          <w:highlight w:val="none"/>
        </w:rPr>
        <w:t>万元，预算执行率为</w:t>
      </w:r>
      <w:r>
        <w:rPr>
          <w:rFonts w:hint="eastAsia" w:ascii="仿宋_GB2312" w:hAnsi="仿宋_GB2312" w:eastAsia="仿宋_GB2312" w:cs="仿宋_GB2312"/>
          <w:color w:val="auto"/>
          <w:sz w:val="32"/>
          <w:szCs w:val="32"/>
          <w:highlight w:val="none"/>
          <w:lang w:val="en-US" w:eastAsia="zh-CN"/>
        </w:rPr>
        <w:t>95</w:t>
      </w:r>
      <w:r>
        <w:rPr>
          <w:rFonts w:hint="eastAsia" w:ascii="仿宋_GB2312" w:hAnsi="仿宋_GB2312" w:eastAsia="仿宋_GB2312" w:cs="仿宋_GB2312"/>
          <w:color w:val="auto"/>
          <w:sz w:val="32"/>
          <w:szCs w:val="32"/>
          <w:highlight w:val="none"/>
        </w:rPr>
        <w:t>%，用于</w:t>
      </w:r>
      <w:r>
        <w:rPr>
          <w:rFonts w:hint="eastAsia" w:ascii="仿宋_GB2312" w:hAnsi="仿宋_GB2312" w:eastAsia="仿宋_GB2312" w:cs="仿宋_GB2312"/>
          <w:b w:val="0"/>
          <w:i w:val="0"/>
          <w:caps w:val="0"/>
          <w:color w:val="auto"/>
          <w:spacing w:val="0"/>
          <w:w w:val="100"/>
          <w:sz w:val="32"/>
          <w:szCs w:val="32"/>
          <w:highlight w:val="none"/>
        </w:rPr>
        <w:t>新建防护设施3370米；场地硬化5480平方米及附属</w:t>
      </w:r>
      <w:r>
        <w:rPr>
          <w:rFonts w:hint="eastAsia" w:ascii="仿宋_GB2312" w:hAnsi="仿宋_GB2312" w:eastAsia="仿宋_GB2312" w:cs="仿宋_GB2312"/>
          <w:b w:val="0"/>
          <w:i w:val="0"/>
          <w:caps w:val="0"/>
          <w:color w:val="auto"/>
          <w:spacing w:val="0"/>
          <w:w w:val="100"/>
          <w:sz w:val="32"/>
          <w:szCs w:val="32"/>
        </w:rPr>
        <w:t>设施建设。</w:t>
      </w: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（二）绩效目标完成情况分析</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hint="eastAsia"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上户镇2022年完成了新建防护设施3370米；场地硬化5480平方米及附属设施建设。带动蔬菜和腌菜的收益提升。密切了党群干群关系，改变了项目实施区域的生产生活条件，加快了新农村建设，为农村经济发展和农民就业创造了有利的条件,增加农民的收入。</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本项目共设置一级指标3个，二级指标</w:t>
      </w:r>
      <w:r>
        <w:rPr>
          <w:rFonts w:hint="eastAsia" w:ascii="仿宋_GB2312" w:hAnsi="仿宋_GB2312" w:eastAsia="仿宋_GB2312" w:cs="仿宋_GB2312"/>
          <w:bCs/>
          <w:color w:val="auto"/>
          <w:sz w:val="32"/>
          <w:szCs w:val="32"/>
          <w:lang w:val="en-US" w:eastAsia="zh-CN"/>
        </w:rPr>
        <w:t>8</w:t>
      </w:r>
      <w:r>
        <w:rPr>
          <w:rFonts w:hint="eastAsia" w:ascii="仿宋_GB2312" w:hAnsi="仿宋_GB2312" w:eastAsia="仿宋_GB2312" w:cs="仿宋_GB2312"/>
          <w:bCs/>
          <w:color w:val="auto"/>
          <w:sz w:val="32"/>
          <w:szCs w:val="32"/>
        </w:rPr>
        <w:t>个，三级指标</w:t>
      </w:r>
      <w:r>
        <w:rPr>
          <w:rFonts w:hint="eastAsia" w:ascii="仿宋_GB2312" w:hAnsi="仿宋_GB2312" w:eastAsia="仿宋_GB2312" w:cs="仿宋_GB2312"/>
          <w:bCs/>
          <w:color w:val="auto"/>
          <w:sz w:val="32"/>
          <w:szCs w:val="32"/>
          <w:lang w:val="en-US" w:eastAsia="zh-CN"/>
        </w:rPr>
        <w:t>12</w:t>
      </w:r>
      <w:r>
        <w:rPr>
          <w:rFonts w:hint="eastAsia" w:ascii="仿宋_GB2312" w:hAnsi="仿宋_GB2312" w:eastAsia="仿宋_GB2312" w:cs="仿宋_GB2312"/>
          <w:bCs/>
          <w:color w:val="auto"/>
          <w:sz w:val="32"/>
          <w:szCs w:val="32"/>
        </w:rPr>
        <w:t>个，其中已完成三级指标</w:t>
      </w:r>
      <w:r>
        <w:rPr>
          <w:rFonts w:hint="eastAsia" w:ascii="仿宋_GB2312" w:hAnsi="仿宋_GB2312" w:eastAsia="仿宋_GB2312" w:cs="仿宋_GB2312"/>
          <w:bCs/>
          <w:color w:val="auto"/>
          <w:sz w:val="32"/>
          <w:szCs w:val="32"/>
          <w:lang w:val="en-US" w:eastAsia="zh-CN"/>
        </w:rPr>
        <w:t>12</w:t>
      </w:r>
      <w:r>
        <w:rPr>
          <w:rFonts w:hint="eastAsia" w:ascii="仿宋_GB2312" w:hAnsi="仿宋_GB2312" w:eastAsia="仿宋_GB2312" w:cs="仿宋_GB2312"/>
          <w:bCs/>
          <w:color w:val="auto"/>
          <w:sz w:val="32"/>
          <w:szCs w:val="32"/>
        </w:rPr>
        <w:t>个，指标完成率为100%。</w:t>
      </w: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1.产出指标完成情况分析</w:t>
      </w:r>
    </w:p>
    <w:p>
      <w:pPr>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rPr>
        <w:t>数量</w:t>
      </w:r>
      <w:r>
        <w:rPr>
          <w:rFonts w:hint="eastAsia" w:ascii="仿宋_GB2312" w:hAnsi="仿宋_GB2312" w:eastAsia="仿宋_GB2312" w:cs="仿宋_GB2312"/>
          <w:b/>
          <w:bCs/>
          <w:color w:val="auto"/>
          <w:sz w:val="32"/>
          <w:szCs w:val="32"/>
          <w:lang w:val="en-US" w:eastAsia="zh-CN"/>
        </w:rPr>
        <w:t>指标</w:t>
      </w:r>
    </w:p>
    <w:p>
      <w:pPr>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新建防护3370米</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年度</w:t>
      </w:r>
      <w:r>
        <w:rPr>
          <w:rFonts w:hint="eastAsia" w:ascii="仿宋_GB2312" w:hAnsi="仿宋_GB2312" w:eastAsia="仿宋_GB2312" w:cs="仿宋_GB2312"/>
          <w:color w:val="auto"/>
          <w:sz w:val="32"/>
          <w:szCs w:val="32"/>
        </w:rPr>
        <w:t>指标值</w:t>
      </w:r>
      <w:r>
        <w:rPr>
          <w:rFonts w:hint="eastAsia" w:ascii="仿宋_GB2312" w:hAnsi="仿宋_GB2312" w:cs="仿宋_GB2312"/>
          <w:color w:val="auto"/>
          <w:sz w:val="32"/>
          <w:szCs w:val="32"/>
          <w:lang w:val="en-US" w:eastAsia="zh-CN"/>
        </w:rPr>
        <w:t>＝3370米</w:t>
      </w:r>
      <w:r>
        <w:rPr>
          <w:rFonts w:hint="eastAsia" w:ascii="仿宋_GB2312" w:hAnsi="仿宋_GB2312" w:eastAsia="仿宋_GB2312" w:cs="仿宋_GB2312"/>
          <w:color w:val="auto"/>
          <w:sz w:val="32"/>
          <w:szCs w:val="32"/>
        </w:rPr>
        <w:t>，实际完成值</w:t>
      </w:r>
      <w:r>
        <w:rPr>
          <w:rFonts w:hint="eastAsia" w:ascii="仿宋_GB2312" w:hAnsi="仿宋_GB2312" w:cs="仿宋_GB2312"/>
          <w:color w:val="auto"/>
          <w:sz w:val="32"/>
          <w:szCs w:val="32"/>
          <w:lang w:val="en-US" w:eastAsia="zh-CN"/>
        </w:rPr>
        <w:t>3370米</w:t>
      </w:r>
      <w:r>
        <w:rPr>
          <w:rFonts w:hint="eastAsia" w:ascii="仿宋_GB2312" w:hAnsi="仿宋_GB2312" w:eastAsia="仿宋_GB2312" w:cs="仿宋_GB2312"/>
          <w:color w:val="auto"/>
          <w:sz w:val="32"/>
          <w:szCs w:val="32"/>
        </w:rPr>
        <w:t>，指标完成率</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新建场地硬化5480平方米</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年度</w:t>
      </w:r>
      <w:r>
        <w:rPr>
          <w:rFonts w:hint="eastAsia" w:ascii="仿宋_GB2312" w:hAnsi="仿宋_GB2312" w:eastAsia="仿宋_GB2312" w:cs="仿宋_GB2312"/>
          <w:color w:val="auto"/>
          <w:sz w:val="32"/>
          <w:szCs w:val="32"/>
        </w:rPr>
        <w:t>指标值</w:t>
      </w:r>
      <w:r>
        <w:rPr>
          <w:rFonts w:hint="eastAsia" w:ascii="仿宋_GB2312" w:hAnsi="仿宋_GB2312" w:cs="仿宋_GB2312"/>
          <w:color w:val="auto"/>
          <w:sz w:val="32"/>
          <w:szCs w:val="32"/>
          <w:lang w:val="en-US" w:eastAsia="zh-CN"/>
        </w:rPr>
        <w:t>≥</w:t>
      </w:r>
      <w:r>
        <w:rPr>
          <w:rFonts w:hint="eastAsia" w:ascii="仿宋_GB2312" w:hAnsi="仿宋_GB2312" w:eastAsia="仿宋_GB2312" w:cs="仿宋_GB2312"/>
          <w:color w:val="auto"/>
          <w:sz w:val="32"/>
          <w:szCs w:val="32"/>
        </w:rPr>
        <w:t>5480平方米，实际完成值5480平方米，指标完成率</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 xml:space="preserve">   </w:t>
      </w:r>
    </w:p>
    <w:p>
      <w:pPr>
        <w:pStyle w:val="2"/>
        <w:keepNext w:val="0"/>
        <w:keepLines w:val="0"/>
        <w:pageBreakBefore w:val="0"/>
        <w:widowControl w:val="0"/>
        <w:numPr>
          <w:ilvl w:val="0"/>
          <w:numId w:val="0"/>
        </w:numPr>
        <w:kinsoku/>
        <w:wordWrap/>
        <w:overflowPunct/>
        <w:topLinePunct w:val="0"/>
        <w:autoSpaceDE/>
        <w:autoSpaceDN/>
        <w:bidi w:val="0"/>
        <w:adjustRightInd/>
        <w:spacing w:line="600" w:lineRule="exact"/>
        <w:ind w:firstLine="643" w:firstLineChars="200"/>
        <w:jc w:val="both"/>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质量</w:t>
      </w:r>
      <w:r>
        <w:rPr>
          <w:rFonts w:hint="eastAsia" w:ascii="仿宋_GB2312" w:hAnsi="仿宋_GB2312" w:eastAsia="仿宋_GB2312" w:cs="仿宋_GB2312"/>
          <w:b/>
          <w:bCs/>
          <w:color w:val="auto"/>
          <w:sz w:val="32"/>
          <w:szCs w:val="32"/>
          <w:lang w:val="en-US" w:eastAsia="zh-CN"/>
        </w:rPr>
        <w:t>指标</w:t>
      </w:r>
    </w:p>
    <w:p>
      <w:pPr>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hint="eastAsia" w:ascii="仿宋_GB2312" w:hAnsi="仿宋_GB2312" w:cs="仿宋_GB2312"/>
          <w:color w:val="auto"/>
          <w:sz w:val="32"/>
          <w:szCs w:val="32"/>
          <w:lang w:eastAsia="zh-CN"/>
        </w:rPr>
      </w:pPr>
      <w:r>
        <w:rPr>
          <w:rFonts w:hint="eastAsia" w:ascii="仿宋_GB2312" w:hAnsi="仿宋_GB2312" w:eastAsia="仿宋_GB2312" w:cs="仿宋_GB2312"/>
          <w:color w:val="auto"/>
          <w:sz w:val="32"/>
          <w:szCs w:val="32"/>
          <w:lang w:eastAsia="zh-CN"/>
        </w:rPr>
        <w:t>项目验收合格率：</w:t>
      </w:r>
      <w:r>
        <w:rPr>
          <w:rFonts w:hint="eastAsia" w:ascii="仿宋_GB2312" w:hAnsi="仿宋_GB2312" w:eastAsia="仿宋_GB2312" w:cs="仿宋_GB2312"/>
          <w:color w:val="auto"/>
          <w:sz w:val="32"/>
          <w:szCs w:val="32"/>
          <w:lang w:val="en-US" w:eastAsia="zh-CN"/>
        </w:rPr>
        <w:t>年度</w:t>
      </w:r>
      <w:r>
        <w:rPr>
          <w:rFonts w:hint="eastAsia" w:ascii="仿宋_GB2312" w:hAnsi="仿宋_GB2312" w:eastAsia="仿宋_GB2312" w:cs="仿宋_GB2312"/>
          <w:color w:val="auto"/>
          <w:sz w:val="32"/>
          <w:szCs w:val="32"/>
        </w:rPr>
        <w:t>指标值</w:t>
      </w:r>
      <w:r>
        <w:rPr>
          <w:rFonts w:hint="eastAsia" w:ascii="仿宋_GB2312" w:hAnsi="仿宋_GB2312" w:cs="仿宋_GB2312"/>
          <w:color w:val="auto"/>
          <w:sz w:val="32"/>
          <w:szCs w:val="32"/>
          <w:lang w:val="en-US" w:eastAsia="zh-CN"/>
        </w:rPr>
        <w:t>=</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 xml:space="preserve"> ，实际完成值 </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，指标完成率</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r>
        <w:rPr>
          <w:rFonts w:hint="eastAsia" w:ascii="仿宋_GB2312" w:hAnsi="仿宋_GB2312" w:cs="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时效</w:t>
      </w:r>
      <w:r>
        <w:rPr>
          <w:rFonts w:hint="eastAsia" w:ascii="仿宋_GB2312" w:hAnsi="仿宋_GB2312" w:eastAsia="仿宋_GB2312" w:cs="仿宋_GB2312"/>
          <w:b/>
          <w:bCs/>
          <w:color w:val="auto"/>
          <w:sz w:val="32"/>
          <w:szCs w:val="32"/>
          <w:lang w:val="en-US" w:eastAsia="zh-CN"/>
        </w:rPr>
        <w:t>指标</w:t>
      </w:r>
    </w:p>
    <w:p>
      <w:pPr>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hint="eastAsia" w:ascii="仿宋_GB2312" w:hAnsi="仿宋_GB2312" w:cs="仿宋_GB2312"/>
          <w:color w:val="auto"/>
          <w:sz w:val="32"/>
          <w:szCs w:val="32"/>
          <w:lang w:eastAsia="zh-CN"/>
        </w:rPr>
      </w:pPr>
      <w:r>
        <w:rPr>
          <w:rFonts w:hint="eastAsia" w:ascii="仿宋_GB2312" w:hAnsi="仿宋_GB2312" w:eastAsia="仿宋_GB2312" w:cs="仿宋_GB2312"/>
          <w:color w:val="auto"/>
          <w:sz w:val="32"/>
          <w:szCs w:val="32"/>
          <w:lang w:eastAsia="zh-CN"/>
        </w:rPr>
        <w:t>项目开工时间：</w:t>
      </w:r>
      <w:r>
        <w:rPr>
          <w:rFonts w:hint="eastAsia" w:ascii="仿宋_GB2312" w:hAnsi="仿宋_GB2312" w:eastAsia="仿宋_GB2312" w:cs="仿宋_GB2312"/>
          <w:color w:val="auto"/>
          <w:sz w:val="32"/>
          <w:szCs w:val="32"/>
          <w:lang w:val="en-US" w:eastAsia="zh-CN"/>
        </w:rPr>
        <w:t>年度</w:t>
      </w:r>
      <w:r>
        <w:rPr>
          <w:rFonts w:hint="eastAsia" w:ascii="仿宋_GB2312" w:hAnsi="仿宋_GB2312" w:eastAsia="仿宋_GB2312" w:cs="仿宋_GB2312"/>
          <w:color w:val="auto"/>
          <w:sz w:val="32"/>
          <w:szCs w:val="32"/>
        </w:rPr>
        <w:t>指标值</w:t>
      </w:r>
      <w:r>
        <w:rPr>
          <w:rFonts w:hint="eastAsia" w:ascii="仿宋_GB2312" w:hAnsi="仿宋_GB2312" w:cs="仿宋_GB2312"/>
          <w:color w:val="auto"/>
          <w:sz w:val="32"/>
          <w:szCs w:val="32"/>
          <w:lang w:val="en-US" w:eastAsia="zh-CN"/>
        </w:rPr>
        <w:t>=</w:t>
      </w:r>
      <w:r>
        <w:rPr>
          <w:rFonts w:hint="eastAsia" w:ascii="仿宋_GB2312" w:hAnsi="仿宋_GB2312" w:eastAsia="仿宋_GB2312" w:cs="仿宋_GB2312"/>
          <w:color w:val="auto"/>
          <w:sz w:val="32"/>
          <w:szCs w:val="32"/>
          <w:lang w:val="en-US" w:eastAsia="zh-CN"/>
        </w:rPr>
        <w:t>2022年</w:t>
      </w:r>
      <w:r>
        <w:rPr>
          <w:rFonts w:hint="eastAsia" w:ascii="仿宋_GB2312" w:hAnsi="仿宋_GB2312" w:cs="仿宋_GB2312"/>
          <w:color w:val="auto"/>
          <w:sz w:val="32"/>
          <w:szCs w:val="32"/>
          <w:lang w:val="en-US" w:eastAsia="zh-CN"/>
        </w:rPr>
        <w:t>4</w:t>
      </w:r>
      <w:r>
        <w:rPr>
          <w:rFonts w:hint="eastAsia" w:ascii="仿宋_GB2312" w:hAnsi="仿宋_GB2312" w:eastAsia="仿宋_GB2312" w:cs="仿宋_GB2312"/>
          <w:color w:val="auto"/>
          <w:sz w:val="32"/>
          <w:szCs w:val="32"/>
          <w:lang w:val="en-US" w:eastAsia="zh-CN"/>
        </w:rPr>
        <w:t>月</w:t>
      </w:r>
      <w:r>
        <w:rPr>
          <w:rFonts w:hint="eastAsia" w:ascii="仿宋_GB2312" w:hAnsi="仿宋_GB2312" w:eastAsia="仿宋_GB2312" w:cs="仿宋_GB2312"/>
          <w:color w:val="auto"/>
          <w:sz w:val="32"/>
          <w:szCs w:val="32"/>
        </w:rPr>
        <w:t>，实际完成值</w:t>
      </w:r>
      <w:r>
        <w:rPr>
          <w:rFonts w:hint="eastAsia" w:ascii="仿宋_GB2312" w:hAnsi="仿宋_GB2312" w:eastAsia="仿宋_GB2312" w:cs="仿宋_GB2312"/>
          <w:color w:val="auto"/>
          <w:sz w:val="32"/>
          <w:szCs w:val="32"/>
          <w:lang w:val="en-US" w:eastAsia="zh-CN"/>
        </w:rPr>
        <w:t>2022年</w:t>
      </w:r>
      <w:r>
        <w:rPr>
          <w:rFonts w:hint="eastAsia" w:ascii="仿宋_GB2312" w:hAnsi="仿宋_GB2312" w:cs="仿宋_GB2312"/>
          <w:color w:val="auto"/>
          <w:sz w:val="32"/>
          <w:szCs w:val="32"/>
          <w:lang w:val="en-US" w:eastAsia="zh-CN"/>
        </w:rPr>
        <w:t>6</w:t>
      </w:r>
      <w:r>
        <w:rPr>
          <w:rFonts w:hint="eastAsia" w:ascii="仿宋_GB2312" w:hAnsi="仿宋_GB2312" w:eastAsia="仿宋_GB2312" w:cs="仿宋_GB2312"/>
          <w:color w:val="auto"/>
          <w:sz w:val="32"/>
          <w:szCs w:val="32"/>
          <w:lang w:val="en-US" w:eastAsia="zh-CN"/>
        </w:rPr>
        <w:t>月</w:t>
      </w:r>
      <w:r>
        <w:rPr>
          <w:rFonts w:hint="eastAsia" w:ascii="仿宋_GB2312" w:hAnsi="仿宋_GB2312" w:eastAsia="仿宋_GB2312" w:cs="仿宋_GB2312"/>
          <w:color w:val="auto"/>
          <w:sz w:val="32"/>
          <w:szCs w:val="32"/>
        </w:rPr>
        <w:t xml:space="preserve"> ，指标完成率</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r>
        <w:rPr>
          <w:rFonts w:hint="eastAsia" w:ascii="仿宋_GB2312" w:hAnsi="仿宋_GB2312" w:cs="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hint="eastAsia" w:ascii="仿宋_GB2312" w:hAnsi="仿宋_GB2312" w:cs="仿宋_GB2312"/>
          <w:color w:val="auto"/>
          <w:sz w:val="32"/>
          <w:szCs w:val="32"/>
          <w:lang w:eastAsia="zh-CN"/>
        </w:rPr>
      </w:pPr>
      <w:r>
        <w:rPr>
          <w:rFonts w:hint="eastAsia" w:ascii="仿宋_GB2312" w:hAnsi="仿宋_GB2312" w:eastAsia="仿宋_GB2312" w:cs="仿宋_GB2312"/>
          <w:color w:val="auto"/>
          <w:sz w:val="32"/>
          <w:szCs w:val="32"/>
          <w:lang w:eastAsia="zh-CN"/>
        </w:rPr>
        <w:t>项目完工时间：</w:t>
      </w:r>
      <w:r>
        <w:rPr>
          <w:rFonts w:hint="eastAsia" w:ascii="仿宋_GB2312" w:hAnsi="仿宋_GB2312" w:eastAsia="仿宋_GB2312" w:cs="仿宋_GB2312"/>
          <w:color w:val="auto"/>
          <w:sz w:val="32"/>
          <w:szCs w:val="32"/>
          <w:lang w:val="en-US" w:eastAsia="zh-CN"/>
        </w:rPr>
        <w:t>年度</w:t>
      </w:r>
      <w:r>
        <w:rPr>
          <w:rFonts w:hint="eastAsia" w:ascii="仿宋_GB2312" w:hAnsi="仿宋_GB2312" w:eastAsia="仿宋_GB2312" w:cs="仿宋_GB2312"/>
          <w:color w:val="auto"/>
          <w:sz w:val="32"/>
          <w:szCs w:val="32"/>
        </w:rPr>
        <w:t>指标值</w:t>
      </w:r>
      <w:r>
        <w:rPr>
          <w:rFonts w:hint="eastAsia" w:ascii="仿宋_GB2312" w:hAnsi="仿宋_GB2312" w:cs="仿宋_GB2312"/>
          <w:color w:val="auto"/>
          <w:sz w:val="32"/>
          <w:szCs w:val="32"/>
          <w:lang w:val="en-US" w:eastAsia="zh-CN"/>
        </w:rPr>
        <w:t>=</w:t>
      </w:r>
      <w:r>
        <w:rPr>
          <w:rFonts w:hint="eastAsia" w:ascii="仿宋_GB2312" w:hAnsi="仿宋_GB2312" w:eastAsia="仿宋_GB2312" w:cs="仿宋_GB2312"/>
          <w:color w:val="auto"/>
          <w:sz w:val="32"/>
          <w:szCs w:val="32"/>
          <w:lang w:val="en-US" w:eastAsia="zh-CN"/>
        </w:rPr>
        <w:t>2022年</w:t>
      </w:r>
      <w:r>
        <w:rPr>
          <w:rFonts w:hint="eastAsia" w:ascii="仿宋_GB2312" w:hAnsi="仿宋_GB2312" w:cs="仿宋_GB2312"/>
          <w:color w:val="auto"/>
          <w:sz w:val="32"/>
          <w:szCs w:val="32"/>
          <w:lang w:val="en-US" w:eastAsia="zh-CN"/>
        </w:rPr>
        <w:t>4</w:t>
      </w:r>
      <w:r>
        <w:rPr>
          <w:rFonts w:hint="eastAsia" w:ascii="仿宋_GB2312" w:hAnsi="仿宋_GB2312" w:eastAsia="仿宋_GB2312" w:cs="仿宋_GB2312"/>
          <w:color w:val="auto"/>
          <w:sz w:val="32"/>
          <w:szCs w:val="32"/>
          <w:lang w:val="en-US" w:eastAsia="zh-CN"/>
        </w:rPr>
        <w:t>月</w:t>
      </w:r>
      <w:r>
        <w:rPr>
          <w:rFonts w:hint="eastAsia" w:ascii="仿宋_GB2312" w:hAnsi="仿宋_GB2312" w:eastAsia="仿宋_GB2312" w:cs="仿宋_GB2312"/>
          <w:color w:val="auto"/>
          <w:sz w:val="32"/>
          <w:szCs w:val="32"/>
        </w:rPr>
        <w:t>，实际完成值</w:t>
      </w:r>
      <w:r>
        <w:rPr>
          <w:rFonts w:hint="eastAsia" w:ascii="仿宋_GB2312" w:hAnsi="仿宋_GB2312" w:eastAsia="仿宋_GB2312" w:cs="仿宋_GB2312"/>
          <w:color w:val="auto"/>
          <w:sz w:val="32"/>
          <w:szCs w:val="32"/>
          <w:lang w:val="en-US" w:eastAsia="zh-CN"/>
        </w:rPr>
        <w:t>2022年</w:t>
      </w:r>
      <w:r>
        <w:rPr>
          <w:rFonts w:hint="eastAsia" w:ascii="仿宋_GB2312" w:hAnsi="仿宋_GB2312" w:cs="仿宋_GB2312"/>
          <w:color w:val="auto"/>
          <w:sz w:val="32"/>
          <w:szCs w:val="32"/>
          <w:lang w:val="en-US" w:eastAsia="zh-CN"/>
        </w:rPr>
        <w:t>6</w:t>
      </w:r>
      <w:r>
        <w:rPr>
          <w:rFonts w:hint="eastAsia" w:ascii="仿宋_GB2312" w:hAnsi="仿宋_GB2312" w:eastAsia="仿宋_GB2312" w:cs="仿宋_GB2312"/>
          <w:color w:val="auto"/>
          <w:sz w:val="32"/>
          <w:szCs w:val="32"/>
          <w:lang w:val="en-US" w:eastAsia="zh-CN"/>
        </w:rPr>
        <w:t>月</w:t>
      </w:r>
      <w:r>
        <w:rPr>
          <w:rFonts w:hint="eastAsia" w:ascii="仿宋_GB2312" w:hAnsi="仿宋_GB2312" w:eastAsia="仿宋_GB2312" w:cs="仿宋_GB2312"/>
          <w:color w:val="auto"/>
          <w:sz w:val="32"/>
          <w:szCs w:val="32"/>
        </w:rPr>
        <w:t>，指标完成率</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r>
        <w:rPr>
          <w:rFonts w:hint="eastAsia" w:ascii="仿宋_GB2312" w:hAnsi="仿宋_GB2312" w:cs="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成本</w:t>
      </w:r>
      <w:r>
        <w:rPr>
          <w:rFonts w:hint="eastAsia" w:ascii="仿宋_GB2312" w:hAnsi="仿宋_GB2312" w:eastAsia="仿宋_GB2312" w:cs="仿宋_GB2312"/>
          <w:b/>
          <w:bCs/>
          <w:color w:val="auto"/>
          <w:sz w:val="32"/>
          <w:szCs w:val="32"/>
          <w:lang w:val="en-US" w:eastAsia="zh-CN"/>
        </w:rPr>
        <w:t>指标</w:t>
      </w:r>
    </w:p>
    <w:p>
      <w:pPr>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hint="default" w:ascii="仿宋_GB2312" w:hAnsi="仿宋_GB2312" w:cs="仿宋_GB2312"/>
          <w:color w:val="auto"/>
          <w:sz w:val="32"/>
          <w:szCs w:val="32"/>
          <w:lang w:val="en-US" w:eastAsia="zh-CN"/>
        </w:rPr>
      </w:pPr>
      <w:r>
        <w:rPr>
          <w:rFonts w:hint="eastAsia" w:ascii="仿宋_GB2312" w:hAnsi="仿宋_GB2312" w:eastAsia="仿宋_GB2312" w:cs="仿宋_GB2312"/>
          <w:color w:val="auto"/>
          <w:sz w:val="32"/>
          <w:szCs w:val="32"/>
        </w:rPr>
        <w:t>新建防护成本</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年度</w:t>
      </w:r>
      <w:r>
        <w:rPr>
          <w:rFonts w:hint="eastAsia" w:ascii="仿宋_GB2312" w:hAnsi="仿宋_GB2312" w:eastAsia="仿宋_GB2312" w:cs="仿宋_GB2312"/>
          <w:color w:val="auto"/>
          <w:sz w:val="32"/>
          <w:szCs w:val="32"/>
        </w:rPr>
        <w:t>指标值</w:t>
      </w:r>
      <w:r>
        <w:rPr>
          <w:rFonts w:hint="eastAsia" w:ascii="仿宋_GB2312" w:hAnsi="仿宋_GB2312" w:cs="仿宋_GB2312"/>
          <w:color w:val="auto"/>
          <w:sz w:val="32"/>
          <w:szCs w:val="32"/>
          <w:lang w:val="en-US" w:eastAsia="zh-CN"/>
        </w:rPr>
        <w:t>≤93万元</w:t>
      </w:r>
      <w:r>
        <w:rPr>
          <w:rFonts w:hint="eastAsia" w:ascii="仿宋_GB2312" w:hAnsi="仿宋_GB2312" w:eastAsia="仿宋_GB2312" w:cs="仿宋_GB2312"/>
          <w:color w:val="auto"/>
          <w:sz w:val="32"/>
          <w:szCs w:val="32"/>
        </w:rPr>
        <w:t xml:space="preserve">，实际完成值 </w:t>
      </w:r>
      <w:r>
        <w:rPr>
          <w:rFonts w:hint="eastAsia" w:ascii="仿宋_GB2312" w:hAnsi="仿宋_GB2312" w:cs="仿宋_GB2312"/>
          <w:color w:val="auto"/>
          <w:sz w:val="32"/>
          <w:szCs w:val="32"/>
          <w:lang w:val="en-US" w:eastAsia="zh-CN"/>
        </w:rPr>
        <w:t>88.35万元。</w:t>
      </w:r>
    </w:p>
    <w:p>
      <w:pPr>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hint="eastAsia" w:ascii="仿宋_GB2312" w:hAnsi="仿宋_GB2312" w:eastAsia="仿宋_GB2312" w:cs="仿宋_GB2312"/>
          <w:b/>
          <w:bCs/>
          <w:color w:val="auto"/>
          <w:sz w:val="32"/>
          <w:szCs w:val="32"/>
          <w:lang w:eastAsia="zh-CN"/>
        </w:rPr>
      </w:pPr>
      <w:r>
        <w:rPr>
          <w:rFonts w:hint="eastAsia" w:ascii="仿宋_GB2312" w:hAnsi="仿宋_GB2312" w:eastAsia="仿宋_GB2312" w:cs="仿宋_GB2312"/>
          <w:color w:val="auto"/>
          <w:sz w:val="32"/>
          <w:szCs w:val="32"/>
        </w:rPr>
        <w:t>新建场地硬化成本</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年度</w:t>
      </w:r>
      <w:r>
        <w:rPr>
          <w:rFonts w:hint="eastAsia" w:ascii="仿宋_GB2312" w:hAnsi="仿宋_GB2312" w:eastAsia="仿宋_GB2312" w:cs="仿宋_GB2312"/>
          <w:color w:val="auto"/>
          <w:sz w:val="32"/>
          <w:szCs w:val="32"/>
        </w:rPr>
        <w:t>指标值</w:t>
      </w:r>
      <w:r>
        <w:rPr>
          <w:rFonts w:hint="eastAsia" w:ascii="仿宋_GB2312" w:hAnsi="仿宋_GB2312" w:cs="仿宋_GB2312"/>
          <w:color w:val="auto"/>
          <w:sz w:val="32"/>
          <w:szCs w:val="32"/>
          <w:lang w:val="en-US" w:eastAsia="zh-CN"/>
        </w:rPr>
        <w:t>≤200</w:t>
      </w:r>
      <w:r>
        <w:rPr>
          <w:rFonts w:hint="eastAsia" w:ascii="仿宋_GB2312" w:hAnsi="仿宋_GB2312" w:eastAsia="仿宋_GB2312" w:cs="仿宋_GB2312"/>
          <w:color w:val="auto"/>
          <w:sz w:val="32"/>
          <w:szCs w:val="32"/>
          <w:lang w:val="en-US" w:eastAsia="zh-CN"/>
        </w:rPr>
        <w:t>万元</w:t>
      </w:r>
      <w:r>
        <w:rPr>
          <w:rFonts w:hint="eastAsia" w:ascii="仿宋_GB2312" w:hAnsi="仿宋_GB2312" w:eastAsia="仿宋_GB2312" w:cs="仿宋_GB2312"/>
          <w:color w:val="auto"/>
          <w:sz w:val="32"/>
          <w:szCs w:val="32"/>
        </w:rPr>
        <w:t>，实际完成值</w:t>
      </w:r>
      <w:r>
        <w:rPr>
          <w:rFonts w:hint="eastAsia" w:ascii="仿宋_GB2312" w:hAnsi="仿宋_GB2312" w:cs="仿宋_GB2312"/>
          <w:color w:val="auto"/>
          <w:sz w:val="32"/>
          <w:szCs w:val="32"/>
          <w:lang w:val="en-US" w:eastAsia="zh-CN"/>
        </w:rPr>
        <w:t>188.96</w:t>
      </w:r>
      <w:r>
        <w:rPr>
          <w:rFonts w:hint="eastAsia" w:ascii="仿宋_GB2312" w:hAnsi="仿宋_GB2312" w:eastAsia="仿宋_GB2312" w:cs="仿宋_GB2312"/>
          <w:color w:val="auto"/>
          <w:sz w:val="32"/>
          <w:szCs w:val="32"/>
          <w:lang w:val="en-US" w:eastAsia="zh-CN"/>
        </w:rPr>
        <w:t>万元</w:t>
      </w:r>
      <w:bookmarkStart w:id="0" w:name="_Toc31697"/>
      <w:bookmarkStart w:id="1" w:name="_Toc67911615"/>
      <w:r>
        <w:rPr>
          <w:rFonts w:hint="eastAsia" w:ascii="仿宋_GB2312" w:hAnsi="仿宋_GB2312" w:eastAsia="仿宋_GB2312" w:cs="仿宋_GB2312"/>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outlineLvl w:val="1"/>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lang w:val="en-US" w:eastAsia="zh-CN"/>
        </w:rPr>
        <w:t>2.</w:t>
      </w:r>
      <w:r>
        <w:rPr>
          <w:rFonts w:hint="eastAsia" w:ascii="仿宋_GB2312" w:hAnsi="仿宋_GB2312" w:eastAsia="仿宋_GB2312" w:cs="仿宋_GB2312"/>
          <w:b/>
          <w:bCs/>
          <w:color w:val="auto"/>
          <w:sz w:val="32"/>
          <w:szCs w:val="32"/>
        </w:rPr>
        <w:t>项目效益情况</w:t>
      </w:r>
      <w:bookmarkEnd w:id="0"/>
      <w:bookmarkEnd w:id="1"/>
    </w:p>
    <w:p>
      <w:pPr>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社会效益指标</w:t>
      </w:r>
    </w:p>
    <w:p>
      <w:pPr>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评价指标“</w:t>
      </w:r>
      <w:r>
        <w:rPr>
          <w:rFonts w:hint="eastAsia" w:ascii="仿宋_GB2312" w:hAnsi="仿宋_GB2312" w:eastAsia="仿宋_GB2312" w:cs="仿宋_GB2312"/>
          <w:color w:val="auto"/>
          <w:sz w:val="32"/>
          <w:szCs w:val="32"/>
          <w:lang w:eastAsia="zh-CN"/>
        </w:rPr>
        <w:t>项目受益村</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年度</w:t>
      </w:r>
      <w:r>
        <w:rPr>
          <w:rFonts w:hint="eastAsia" w:ascii="仿宋_GB2312" w:hAnsi="仿宋_GB2312" w:eastAsia="仿宋_GB2312" w:cs="仿宋_GB2312"/>
          <w:color w:val="auto"/>
          <w:sz w:val="32"/>
          <w:szCs w:val="32"/>
        </w:rPr>
        <w:t>指标值</w:t>
      </w:r>
      <w:r>
        <w:rPr>
          <w:rFonts w:hint="eastAsia" w:ascii="仿宋_GB2312" w:hAnsi="仿宋_GB2312" w:cs="仿宋_GB2312"/>
          <w:color w:val="auto"/>
          <w:sz w:val="32"/>
          <w:szCs w:val="32"/>
          <w:lang w:val="en-US" w:eastAsia="zh-CN"/>
        </w:rPr>
        <w:t>≥1个</w:t>
      </w:r>
      <w:r>
        <w:rPr>
          <w:rFonts w:hint="eastAsia" w:ascii="仿宋_GB2312" w:hAnsi="仿宋_GB2312" w:eastAsia="仿宋_GB2312" w:cs="仿宋_GB2312"/>
          <w:color w:val="auto"/>
          <w:sz w:val="32"/>
          <w:szCs w:val="32"/>
        </w:rPr>
        <w:t>，实际完成值：</w:t>
      </w:r>
      <w:r>
        <w:rPr>
          <w:rFonts w:hint="eastAsia" w:ascii="仿宋_GB2312" w:hAnsi="仿宋_GB2312" w:cs="仿宋_GB2312"/>
          <w:color w:val="auto"/>
          <w:sz w:val="32"/>
          <w:szCs w:val="32"/>
          <w:lang w:val="en-US" w:eastAsia="zh-CN"/>
        </w:rPr>
        <w:t>1个</w:t>
      </w:r>
      <w:r>
        <w:rPr>
          <w:rFonts w:hint="eastAsia" w:ascii="仿宋_GB2312" w:hAnsi="仿宋_GB2312" w:eastAsia="仿宋_GB2312" w:cs="仿宋_GB2312"/>
          <w:color w:val="auto"/>
          <w:sz w:val="32"/>
          <w:szCs w:val="32"/>
        </w:rPr>
        <w:t>。</w:t>
      </w:r>
    </w:p>
    <w:p>
      <w:pPr>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hint="eastAsia"/>
          <w:color w:val="auto"/>
        </w:rPr>
      </w:pPr>
      <w:r>
        <w:rPr>
          <w:rFonts w:hint="eastAsia" w:ascii="仿宋_GB2312" w:hAnsi="仿宋_GB2312" w:eastAsia="仿宋_GB2312" w:cs="仿宋_GB2312"/>
          <w:color w:val="auto"/>
          <w:sz w:val="32"/>
          <w:szCs w:val="32"/>
        </w:rPr>
        <w:t>评价指标“</w:t>
      </w:r>
      <w:r>
        <w:rPr>
          <w:rFonts w:hint="eastAsia" w:ascii="仿宋_GB2312" w:hAnsi="仿宋_GB2312" w:eastAsia="仿宋_GB2312" w:cs="仿宋_GB2312"/>
          <w:color w:val="auto"/>
          <w:sz w:val="32"/>
          <w:szCs w:val="32"/>
          <w:lang w:eastAsia="zh-CN"/>
        </w:rPr>
        <w:t>受益户数</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年度</w:t>
      </w:r>
      <w:r>
        <w:rPr>
          <w:rFonts w:hint="eastAsia" w:ascii="仿宋_GB2312" w:hAnsi="仿宋_GB2312" w:eastAsia="仿宋_GB2312" w:cs="仿宋_GB2312"/>
          <w:color w:val="auto"/>
          <w:sz w:val="32"/>
          <w:szCs w:val="32"/>
        </w:rPr>
        <w:t>指标值</w:t>
      </w:r>
      <w:r>
        <w:rPr>
          <w:rFonts w:hint="eastAsia" w:ascii="仿宋_GB2312" w:hAnsi="仿宋_GB2312" w:cs="仿宋_GB2312"/>
          <w:color w:val="auto"/>
          <w:sz w:val="32"/>
          <w:szCs w:val="32"/>
          <w:lang w:val="en-US" w:eastAsia="zh-CN"/>
        </w:rPr>
        <w:t>≥86户</w:t>
      </w:r>
      <w:r>
        <w:rPr>
          <w:rFonts w:hint="eastAsia" w:ascii="仿宋_GB2312" w:hAnsi="仿宋_GB2312" w:eastAsia="仿宋_GB2312" w:cs="仿宋_GB2312"/>
          <w:color w:val="auto"/>
          <w:sz w:val="32"/>
          <w:szCs w:val="32"/>
        </w:rPr>
        <w:t>，实际完成值：</w:t>
      </w:r>
      <w:r>
        <w:rPr>
          <w:rFonts w:hint="eastAsia" w:ascii="仿宋_GB2312" w:hAnsi="仿宋_GB2312" w:cs="仿宋_GB2312"/>
          <w:color w:val="auto"/>
          <w:sz w:val="32"/>
          <w:szCs w:val="32"/>
          <w:lang w:val="en-US" w:eastAsia="zh-CN"/>
        </w:rPr>
        <w:t>86户</w:t>
      </w:r>
      <w:r>
        <w:rPr>
          <w:rFonts w:hint="eastAsia" w:ascii="仿宋_GB2312" w:hAnsi="仿宋_GB2312" w:eastAsia="仿宋_GB2312" w:cs="仿宋_GB2312"/>
          <w:color w:val="auto"/>
          <w:sz w:val="32"/>
          <w:szCs w:val="32"/>
        </w:rPr>
        <w:t>。</w:t>
      </w:r>
    </w:p>
    <w:p>
      <w:pPr>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可持续影响指标</w:t>
      </w:r>
    </w:p>
    <w:p>
      <w:pPr>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评价指标“</w:t>
      </w:r>
      <w:r>
        <w:rPr>
          <w:rFonts w:hint="eastAsia" w:ascii="仿宋_GB2312" w:hAnsi="仿宋_GB2312" w:eastAsia="仿宋_GB2312" w:cs="仿宋_GB2312"/>
          <w:color w:val="auto"/>
          <w:sz w:val="32"/>
          <w:szCs w:val="32"/>
          <w:lang w:eastAsia="zh-CN"/>
        </w:rPr>
        <w:t>工程设计使用年限</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年度</w:t>
      </w:r>
      <w:r>
        <w:rPr>
          <w:rFonts w:hint="eastAsia" w:ascii="仿宋_GB2312" w:hAnsi="仿宋_GB2312" w:eastAsia="仿宋_GB2312" w:cs="仿宋_GB2312"/>
          <w:color w:val="auto"/>
          <w:sz w:val="32"/>
          <w:szCs w:val="32"/>
        </w:rPr>
        <w:t>指标值</w:t>
      </w:r>
      <w:r>
        <w:rPr>
          <w:rFonts w:hint="eastAsia" w:ascii="仿宋_GB2312" w:hAnsi="仿宋_GB2312" w:eastAsia="仿宋_GB2312" w:cs="仿宋_GB2312"/>
          <w:color w:val="auto"/>
          <w:sz w:val="32"/>
          <w:szCs w:val="32"/>
          <w:lang w:eastAsia="zh-CN"/>
        </w:rPr>
        <w:t>大于等于</w:t>
      </w:r>
      <w:r>
        <w:rPr>
          <w:rFonts w:hint="eastAsia" w:ascii="仿宋_GB2312" w:hAnsi="仿宋_GB2312" w:eastAsia="仿宋_GB2312" w:cs="仿宋_GB2312"/>
          <w:color w:val="auto"/>
          <w:sz w:val="32"/>
          <w:szCs w:val="32"/>
          <w:lang w:val="en-US" w:eastAsia="zh-CN"/>
        </w:rPr>
        <w:t>10年</w:t>
      </w:r>
      <w:r>
        <w:rPr>
          <w:rFonts w:hint="eastAsia" w:ascii="仿宋_GB2312" w:hAnsi="仿宋_GB2312" w:eastAsia="仿宋_GB2312" w:cs="仿宋_GB2312"/>
          <w:color w:val="auto"/>
          <w:sz w:val="32"/>
          <w:szCs w:val="32"/>
        </w:rPr>
        <w:t>，实际完成值：达成年度指标。</w:t>
      </w:r>
    </w:p>
    <w:p>
      <w:pPr>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生态效益指标</w:t>
      </w:r>
    </w:p>
    <w:p>
      <w:pPr>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hint="eastAsia"/>
          <w:color w:val="auto"/>
        </w:rPr>
      </w:pPr>
      <w:r>
        <w:rPr>
          <w:rFonts w:hint="eastAsia" w:ascii="仿宋_GB2312" w:hAnsi="仿宋_GB2312" w:eastAsia="仿宋_GB2312" w:cs="仿宋_GB2312"/>
          <w:color w:val="auto"/>
          <w:sz w:val="32"/>
          <w:szCs w:val="32"/>
        </w:rPr>
        <w:t>评价指标“</w:t>
      </w:r>
      <w:r>
        <w:rPr>
          <w:rFonts w:hint="eastAsia" w:ascii="仿宋_GB2312" w:hAnsi="仿宋_GB2312" w:eastAsia="仿宋_GB2312" w:cs="仿宋_GB2312"/>
          <w:color w:val="auto"/>
          <w:sz w:val="32"/>
          <w:szCs w:val="32"/>
          <w:lang w:eastAsia="zh-CN"/>
        </w:rPr>
        <w:t>改善生活生产环境率</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年度</w:t>
      </w:r>
      <w:r>
        <w:rPr>
          <w:rFonts w:hint="eastAsia" w:ascii="仿宋_GB2312" w:hAnsi="仿宋_GB2312" w:eastAsia="仿宋_GB2312" w:cs="仿宋_GB2312"/>
          <w:color w:val="auto"/>
          <w:sz w:val="32"/>
          <w:szCs w:val="32"/>
        </w:rPr>
        <w:t>指标值</w:t>
      </w:r>
      <w:r>
        <w:rPr>
          <w:rFonts w:hint="eastAsia" w:ascii="仿宋_GB2312" w:hAnsi="仿宋_GB2312" w:cs="仿宋_GB2312"/>
          <w:color w:val="auto"/>
          <w:sz w:val="32"/>
          <w:szCs w:val="32"/>
          <w:lang w:val="en-US" w:eastAsia="zh-CN"/>
        </w:rPr>
        <w:t>≥90%</w:t>
      </w:r>
      <w:r>
        <w:rPr>
          <w:rFonts w:hint="eastAsia" w:ascii="仿宋_GB2312" w:hAnsi="仿宋_GB2312" w:eastAsia="仿宋_GB2312" w:cs="仿宋_GB2312"/>
          <w:color w:val="auto"/>
          <w:sz w:val="32"/>
          <w:szCs w:val="32"/>
        </w:rPr>
        <w:t>，实际完成值：</w:t>
      </w:r>
      <w:r>
        <w:rPr>
          <w:rFonts w:hint="eastAsia" w:ascii="仿宋_GB2312" w:hAnsi="仿宋_GB2312" w:cs="仿宋_GB2312"/>
          <w:color w:val="auto"/>
          <w:sz w:val="32"/>
          <w:szCs w:val="32"/>
          <w:lang w:val="en-US" w:eastAsia="zh-CN"/>
        </w:rPr>
        <w:t>90%</w:t>
      </w:r>
      <w:r>
        <w:rPr>
          <w:rFonts w:hint="eastAsia" w:ascii="仿宋_GB2312" w:hAnsi="仿宋_GB2312" w:eastAsia="仿宋_GB2312" w:cs="仿宋_GB2312"/>
          <w:color w:val="auto"/>
          <w:sz w:val="32"/>
          <w:szCs w:val="32"/>
        </w:rPr>
        <w:t>。</w:t>
      </w:r>
    </w:p>
    <w:p>
      <w:pPr>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lang w:val="en-US" w:eastAsia="zh-CN"/>
        </w:rPr>
        <w:t>3.</w:t>
      </w:r>
      <w:r>
        <w:rPr>
          <w:rFonts w:hint="eastAsia" w:ascii="仿宋_GB2312" w:hAnsi="仿宋_GB2312" w:eastAsia="仿宋_GB2312" w:cs="仿宋_GB2312"/>
          <w:b/>
          <w:bCs/>
          <w:color w:val="auto"/>
          <w:sz w:val="32"/>
          <w:szCs w:val="32"/>
        </w:rPr>
        <w:t>满意度</w:t>
      </w:r>
    </w:p>
    <w:p>
      <w:pPr>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服务对象满意度指标</w:t>
      </w:r>
    </w:p>
    <w:p>
      <w:pPr>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评价指标“</w:t>
      </w:r>
      <w:r>
        <w:rPr>
          <w:rFonts w:hint="eastAsia" w:ascii="仿宋_GB2312" w:hAnsi="仿宋_GB2312" w:eastAsia="仿宋_GB2312" w:cs="仿宋_GB2312"/>
          <w:color w:val="auto"/>
          <w:sz w:val="32"/>
          <w:szCs w:val="32"/>
          <w:lang w:eastAsia="zh-CN"/>
        </w:rPr>
        <w:t>受益户满意度</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年度</w:t>
      </w:r>
      <w:r>
        <w:rPr>
          <w:rFonts w:hint="eastAsia" w:ascii="仿宋_GB2312" w:hAnsi="仿宋_GB2312" w:eastAsia="仿宋_GB2312" w:cs="仿宋_GB2312"/>
          <w:color w:val="auto"/>
          <w:sz w:val="32"/>
          <w:szCs w:val="32"/>
        </w:rPr>
        <w:t>指标值≥</w:t>
      </w:r>
      <w:r>
        <w:rPr>
          <w:rFonts w:hint="eastAsia" w:ascii="仿宋_GB2312" w:hAnsi="仿宋_GB2312" w:eastAsia="仿宋_GB2312" w:cs="仿宋_GB2312"/>
          <w:color w:val="auto"/>
          <w:sz w:val="32"/>
          <w:szCs w:val="32"/>
          <w:lang w:val="en-US" w:eastAsia="zh-CN"/>
        </w:rPr>
        <w:t>90%</w:t>
      </w:r>
      <w:r>
        <w:rPr>
          <w:rFonts w:hint="eastAsia" w:ascii="仿宋_GB2312" w:hAnsi="仿宋_GB2312" w:eastAsia="仿宋_GB2312" w:cs="仿宋_GB2312"/>
          <w:color w:val="auto"/>
          <w:sz w:val="32"/>
          <w:szCs w:val="32"/>
        </w:rPr>
        <w:t>，实际完成值：</w:t>
      </w:r>
      <w:r>
        <w:rPr>
          <w:rFonts w:hint="eastAsia" w:ascii="仿宋_GB2312" w:hAnsi="仿宋_GB2312" w:eastAsia="仿宋_GB2312" w:cs="仿宋_GB2312"/>
          <w:color w:val="auto"/>
          <w:sz w:val="32"/>
          <w:szCs w:val="32"/>
          <w:lang w:val="en-US" w:eastAsia="zh-CN"/>
        </w:rPr>
        <w:t>95</w:t>
      </w:r>
      <w:r>
        <w:rPr>
          <w:rFonts w:hint="eastAsia" w:ascii="仿宋_GB2312" w:hAnsi="仿宋_GB2312" w:eastAsia="仿宋_GB2312" w:cs="仿宋_GB2312"/>
          <w:color w:val="auto"/>
          <w:sz w:val="32"/>
          <w:szCs w:val="32"/>
        </w:rPr>
        <w:t>%。</w:t>
      </w:r>
    </w:p>
    <w:p>
      <w:pPr>
        <w:pStyle w:val="7"/>
        <w:keepNext w:val="0"/>
        <w:keepLines w:val="0"/>
        <w:pageBreakBefore w:val="0"/>
        <w:widowControl w:val="0"/>
        <w:tabs>
          <w:tab w:val="right" w:pos="7663"/>
        </w:tabs>
        <w:kinsoku/>
        <w:wordWrap/>
        <w:overflowPunct/>
        <w:topLinePunct w:val="0"/>
        <w:autoSpaceDE/>
        <w:autoSpaceDN/>
        <w:bidi w:val="0"/>
        <w:adjustRightInd/>
        <w:spacing w:line="600" w:lineRule="exact"/>
        <w:ind w:firstLine="643" w:firstLineChars="200"/>
        <w:jc w:val="both"/>
        <w:textAlignment w:val="auto"/>
        <w:rPr>
          <w:rFonts w:hint="default" w:ascii="黑体" w:hAnsi="黑体" w:eastAsia="黑体" w:cs="仿宋_GB2312"/>
          <w:b/>
          <w:color w:val="auto"/>
          <w:sz w:val="32"/>
          <w:szCs w:val="32"/>
          <w:lang w:val="en-US" w:eastAsia="zh-CN"/>
        </w:rPr>
      </w:pPr>
      <w:r>
        <w:rPr>
          <w:rFonts w:hint="eastAsia" w:ascii="黑体" w:hAnsi="黑体" w:eastAsia="黑体" w:cs="仿宋_GB2312"/>
          <w:b/>
          <w:color w:val="auto"/>
          <w:sz w:val="32"/>
          <w:szCs w:val="32"/>
          <w:lang w:val="en-US" w:eastAsia="zh-CN"/>
        </w:rPr>
        <w:t>四</w:t>
      </w:r>
      <w:r>
        <w:rPr>
          <w:rFonts w:hint="eastAsia" w:ascii="黑体" w:hAnsi="黑体" w:eastAsia="黑体" w:cs="仿宋_GB2312"/>
          <w:b/>
          <w:color w:val="auto"/>
          <w:sz w:val="32"/>
          <w:szCs w:val="32"/>
        </w:rPr>
        <w:t>、偏离绩效目标的原因和下一步改进措施</w:t>
      </w:r>
      <w:r>
        <w:rPr>
          <w:rFonts w:hint="eastAsia" w:ascii="黑体" w:hAnsi="黑体" w:eastAsia="黑体" w:cs="仿宋_GB2312"/>
          <w:b/>
          <w:color w:val="auto"/>
          <w:sz w:val="32"/>
          <w:szCs w:val="32"/>
          <w:lang w:eastAsia="zh-CN"/>
        </w:rPr>
        <w:tab/>
      </w: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（一）偏离绩效目标的原因</w:t>
      </w:r>
    </w:p>
    <w:p>
      <w:pPr>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lang w:val="en-US" w:eastAsia="zh-CN"/>
        </w:rPr>
        <w:t>资金预算执行存在偏差：</w:t>
      </w:r>
      <w:r>
        <w:rPr>
          <w:rFonts w:hint="eastAsia" w:ascii="仿宋_GB2312" w:hAnsi="仿宋_GB2312" w:eastAsia="仿宋_GB2312" w:cs="仿宋_GB2312"/>
          <w:color w:val="auto"/>
          <w:sz w:val="32"/>
          <w:szCs w:val="32"/>
        </w:rPr>
        <w:t>全年预算数</w:t>
      </w:r>
      <w:r>
        <w:rPr>
          <w:rFonts w:hint="eastAsia" w:ascii="仿宋_GB2312" w:hAnsi="仿宋_GB2312" w:cs="仿宋_GB2312"/>
          <w:color w:val="auto"/>
          <w:sz w:val="32"/>
          <w:szCs w:val="32"/>
          <w:lang w:val="en-US" w:eastAsia="zh-CN"/>
        </w:rPr>
        <w:t>293</w:t>
      </w:r>
      <w:r>
        <w:rPr>
          <w:rFonts w:hint="eastAsia" w:ascii="仿宋_GB2312" w:hAnsi="仿宋_GB2312" w:eastAsia="仿宋_GB2312" w:cs="仿宋_GB2312"/>
          <w:color w:val="auto"/>
          <w:sz w:val="32"/>
          <w:szCs w:val="32"/>
        </w:rPr>
        <w:t>万元，全年执行数</w:t>
      </w:r>
      <w:r>
        <w:rPr>
          <w:rFonts w:hint="eastAsia" w:ascii="仿宋_GB2312" w:hAnsi="仿宋_GB2312" w:cs="仿宋_GB2312"/>
          <w:color w:val="auto"/>
          <w:sz w:val="32"/>
          <w:szCs w:val="32"/>
          <w:highlight w:val="none"/>
          <w:lang w:val="en-US" w:eastAsia="zh-CN"/>
        </w:rPr>
        <w:t>277.31</w:t>
      </w:r>
      <w:r>
        <w:rPr>
          <w:rFonts w:hint="eastAsia" w:ascii="仿宋_GB2312" w:hAnsi="仿宋_GB2312" w:eastAsia="仿宋_GB2312" w:cs="仿宋_GB2312"/>
          <w:color w:val="auto"/>
          <w:sz w:val="32"/>
          <w:szCs w:val="32"/>
          <w:highlight w:val="none"/>
        </w:rPr>
        <w:t>万元，执行率为</w:t>
      </w:r>
      <w:r>
        <w:rPr>
          <w:rFonts w:hint="eastAsia" w:ascii="仿宋_GB2312" w:hAnsi="仿宋_GB2312" w:eastAsia="仿宋_GB2312" w:cs="仿宋_GB2312"/>
          <w:color w:val="auto"/>
          <w:sz w:val="32"/>
          <w:szCs w:val="32"/>
          <w:highlight w:val="none"/>
          <w:lang w:val="en-US" w:eastAsia="zh-CN"/>
        </w:rPr>
        <w:t>95</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二者之间的偏差值为</w:t>
      </w:r>
      <w:r>
        <w:rPr>
          <w:rFonts w:hint="eastAsia" w:ascii="仿宋_GB2312" w:hAnsi="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造成5%的偏差的原因一是通过委托第三方中介机构对项目工程结算进行审计后成本有所降低；二是项目按照合同约定预留3%质保金，质保期未到目前尚未支付，待到期后支付3%质保金</w:t>
      </w:r>
      <w:r>
        <w:rPr>
          <w:rFonts w:hint="eastAsia" w:ascii="仿宋_GB2312" w:hAnsi="仿宋_GB2312" w:eastAsia="仿宋_GB2312" w:cs="仿宋_GB2312"/>
          <w:color w:val="auto"/>
          <w:sz w:val="32"/>
          <w:szCs w:val="32"/>
          <w:highlight w:val="none"/>
        </w:rPr>
        <w:t>。</w:t>
      </w: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（二）下一步改进措施</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本项目按照预期内</w:t>
      </w:r>
      <w:r>
        <w:rPr>
          <w:rFonts w:hint="eastAsia" w:ascii="仿宋_GB2312" w:hAnsi="仿宋_GB2312" w:eastAsia="仿宋_GB2312" w:cs="仿宋_GB2312"/>
          <w:color w:val="auto"/>
          <w:sz w:val="32"/>
          <w:szCs w:val="32"/>
          <w:highlight w:val="none"/>
        </w:rPr>
        <w:t>完成项目建设及资金</w:t>
      </w:r>
      <w:r>
        <w:rPr>
          <w:rFonts w:hint="eastAsia" w:ascii="仿宋_GB2312" w:hAnsi="仿宋_GB2312" w:eastAsia="仿宋_GB2312" w:cs="仿宋_GB2312"/>
          <w:color w:val="auto"/>
          <w:sz w:val="32"/>
          <w:szCs w:val="32"/>
          <w:highlight w:val="none"/>
          <w:lang w:val="en-US" w:eastAsia="zh-CN"/>
        </w:rPr>
        <w:t>拨付</w:t>
      </w:r>
      <w:r>
        <w:rPr>
          <w:rFonts w:hint="eastAsia" w:ascii="仿宋_GB2312" w:hAnsi="仿宋_GB2312" w:eastAsia="仿宋_GB2312" w:cs="仿宋_GB2312"/>
          <w:color w:val="auto"/>
          <w:sz w:val="32"/>
          <w:szCs w:val="32"/>
          <w:highlight w:val="none"/>
        </w:rPr>
        <w:t>，加快了新农村建设，为农村经济发展和农民就业创造了有利的条件,增加农民的收入。在</w:t>
      </w:r>
      <w:r>
        <w:rPr>
          <w:rFonts w:hint="eastAsia" w:ascii="仿宋_GB2312" w:hAnsi="仿宋_GB2312" w:eastAsia="仿宋_GB2312" w:cs="仿宋_GB2312"/>
          <w:color w:val="auto"/>
          <w:sz w:val="32"/>
          <w:szCs w:val="32"/>
        </w:rPr>
        <w:t>今后的补助项目当中对设计目标要提高设计标准，优化、细化方案，对各项指标和指标值的设定要进一步优化、完善。</w:t>
      </w:r>
      <w:r>
        <w:rPr>
          <w:rFonts w:ascii="仿宋_GB2312" w:hAnsi="仿宋_GB2312" w:eastAsia="仿宋_GB2312" w:cs="仿宋_GB2312"/>
          <w:color w:val="auto"/>
          <w:sz w:val="32"/>
          <w:szCs w:val="32"/>
        </w:rPr>
        <w:t xml:space="preserve">  </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今后</w:t>
      </w:r>
      <w:r>
        <w:rPr>
          <w:rFonts w:hint="eastAsia" w:ascii="仿宋_GB2312" w:hAnsi="仿宋_GB2312" w:eastAsia="仿宋_GB2312" w:cs="仿宋_GB2312"/>
          <w:color w:val="auto"/>
          <w:sz w:val="32"/>
          <w:szCs w:val="32"/>
          <w:lang w:val="en-US" w:eastAsia="zh-CN"/>
        </w:rPr>
        <w:t>加强</w:t>
      </w:r>
      <w:r>
        <w:rPr>
          <w:rFonts w:hint="eastAsia" w:ascii="仿宋_GB2312" w:hAnsi="仿宋_GB2312" w:eastAsia="仿宋_GB2312" w:cs="仿宋_GB2312"/>
          <w:color w:val="auto"/>
          <w:sz w:val="32"/>
          <w:szCs w:val="32"/>
        </w:rPr>
        <w:t>项目跟踪管理，做好抽查巡查机制，以便使补助资金的发放发挥更大的效益。</w:t>
      </w: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ascii="黑体" w:hAnsi="黑体" w:eastAsia="黑体" w:cs="仿宋_GB2312"/>
          <w:b/>
          <w:color w:val="auto"/>
          <w:sz w:val="32"/>
          <w:szCs w:val="32"/>
        </w:rPr>
      </w:pPr>
      <w:r>
        <w:rPr>
          <w:rFonts w:hint="eastAsia" w:ascii="黑体" w:hAnsi="黑体" w:eastAsia="黑体" w:cs="仿宋_GB2312"/>
          <w:b/>
          <w:color w:val="auto"/>
          <w:sz w:val="32"/>
          <w:szCs w:val="32"/>
        </w:rPr>
        <w:t>五、绩效自评结果拟应用和公开情况</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ascii="仿宋_GB2312" w:hAnsi="仿宋_GB2312" w:eastAsia="仿宋_GB2312" w:cs="仿宋_GB2312"/>
          <w:color w:val="auto"/>
          <w:sz w:val="32"/>
          <w:szCs w:val="32"/>
        </w:rPr>
      </w:pPr>
      <w:r>
        <w:rPr>
          <w:rFonts w:ascii="仿宋_GB2312" w:hAnsi="仿宋_GB2312" w:eastAsia="仿宋_GB2312" w:cs="仿宋_GB2312"/>
          <w:iCs/>
          <w:color w:val="auto"/>
          <w:sz w:val="32"/>
          <w:szCs w:val="32"/>
        </w:rPr>
        <w:t>经综合评价，本项目实施达成预期指标</w:t>
      </w:r>
      <w:r>
        <w:rPr>
          <w:rFonts w:hint="eastAsia" w:ascii="仿宋_GB2312" w:hAnsi="仿宋_GB2312" w:eastAsia="仿宋_GB2312" w:cs="仿宋_GB2312"/>
          <w:iCs/>
          <w:color w:val="auto"/>
          <w:sz w:val="32"/>
          <w:szCs w:val="32"/>
        </w:rPr>
        <w:t>，</w:t>
      </w:r>
      <w:r>
        <w:rPr>
          <w:rFonts w:ascii="仿宋_GB2312" w:hAnsi="仿宋_GB2312" w:eastAsia="仿宋_GB2312" w:cs="仿宋_GB2312"/>
          <w:iCs/>
          <w:color w:val="auto"/>
          <w:sz w:val="32"/>
          <w:szCs w:val="32"/>
        </w:rPr>
        <w:t>资金使用、管理、保障到位，严格执行</w:t>
      </w:r>
      <w:r>
        <w:rPr>
          <w:rFonts w:hint="eastAsia" w:ascii="仿宋_GB2312" w:hAnsi="仿宋_GB2312" w:eastAsia="仿宋_GB2312" w:cs="仿宋_GB2312"/>
          <w:bCs/>
          <w:color w:val="auto"/>
          <w:sz w:val="32"/>
          <w:szCs w:val="32"/>
        </w:rPr>
        <w:t>《中央财政衔接推进乡村振兴补助资金管理办法》</w:t>
      </w:r>
      <w:r>
        <w:rPr>
          <w:rFonts w:ascii="仿宋_GB2312" w:hAnsi="仿宋_GB2312" w:eastAsia="仿宋_GB2312" w:cs="仿宋_GB2312"/>
          <w:iCs/>
          <w:color w:val="auto"/>
          <w:sz w:val="32"/>
          <w:szCs w:val="32"/>
        </w:rPr>
        <w:t>，能按照实施方案执行</w:t>
      </w:r>
      <w:r>
        <w:rPr>
          <w:rFonts w:hint="eastAsia" w:ascii="仿宋_GB2312" w:hAnsi="仿宋_GB2312" w:eastAsia="仿宋_GB2312" w:cs="仿宋_GB2312"/>
          <w:iCs/>
          <w:color w:val="auto"/>
          <w:sz w:val="32"/>
          <w:szCs w:val="32"/>
        </w:rPr>
        <w:t>项目管理</w:t>
      </w:r>
      <w:r>
        <w:rPr>
          <w:rFonts w:ascii="仿宋_GB2312" w:hAnsi="仿宋_GB2312" w:eastAsia="仿宋_GB2312" w:cs="仿宋_GB2312"/>
          <w:iCs/>
          <w:color w:val="auto"/>
          <w:sz w:val="32"/>
          <w:szCs w:val="32"/>
        </w:rPr>
        <w:t>，</w:t>
      </w:r>
      <w:r>
        <w:rPr>
          <w:rFonts w:hint="eastAsia" w:ascii="仿宋_GB2312" w:hAnsi="仿宋_GB2312" w:eastAsia="仿宋_GB2312" w:cs="仿宋_GB2312"/>
          <w:iCs/>
          <w:color w:val="auto"/>
          <w:sz w:val="32"/>
          <w:szCs w:val="32"/>
        </w:rPr>
        <w:t>助力</w:t>
      </w:r>
      <w:r>
        <w:rPr>
          <w:rFonts w:hint="eastAsia" w:ascii="仿宋_GB2312" w:hAnsi="仿宋_GB2312" w:eastAsia="仿宋_GB2312" w:cs="仿宋_GB2312"/>
          <w:iCs/>
          <w:color w:val="auto"/>
          <w:sz w:val="32"/>
          <w:szCs w:val="32"/>
          <w:lang w:eastAsia="zh-CN"/>
        </w:rPr>
        <w:t>乡村振兴</w:t>
      </w:r>
      <w:r>
        <w:rPr>
          <w:rFonts w:hint="eastAsia" w:ascii="仿宋_GB2312" w:hAnsi="仿宋_GB2312" w:eastAsia="仿宋_GB2312" w:cs="仿宋_GB2312"/>
          <w:iCs/>
          <w:color w:val="auto"/>
          <w:sz w:val="32"/>
          <w:szCs w:val="32"/>
        </w:rPr>
        <w:t>。</w:t>
      </w:r>
      <w:r>
        <w:rPr>
          <w:rFonts w:hint="eastAsia" w:ascii="仿宋_GB2312" w:hAnsi="仿宋_GB2312" w:eastAsia="仿宋_GB2312" w:cs="仿宋_GB2312"/>
          <w:color w:val="auto"/>
          <w:sz w:val="32"/>
          <w:szCs w:val="32"/>
        </w:rPr>
        <w:t>今后要积极采取其他部门的反馈意见，针对反馈意见，在今后的补助项目当中举一反三，提高项目建设管理能力，</w:t>
      </w:r>
      <w:r>
        <w:rPr>
          <w:rFonts w:hint="eastAsia" w:ascii="仿宋_GB2312" w:hAnsi="仿宋_GB2312" w:eastAsia="仿宋_GB2312" w:cs="仿宋_GB2312"/>
          <w:iCs/>
          <w:color w:val="auto"/>
          <w:sz w:val="32"/>
          <w:szCs w:val="32"/>
        </w:rPr>
        <w:t>为下一阶段开展工作做好准备。</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hint="default" w:ascii="仿宋_GB2312" w:hAnsi="仿宋_GB2312" w:eastAsia="仿宋_GB2312" w:cs="仿宋_GB2312"/>
          <w:iCs/>
          <w:color w:val="auto"/>
          <w:sz w:val="32"/>
          <w:szCs w:val="32"/>
          <w:lang w:val="en-US" w:eastAsia="zh-CN"/>
        </w:rPr>
      </w:pPr>
      <w:r>
        <w:rPr>
          <w:rFonts w:hint="eastAsia" w:ascii="仿宋_GB2312" w:hAnsi="仿宋_GB2312" w:eastAsia="仿宋_GB2312" w:cs="仿宋_GB2312"/>
          <w:iCs/>
          <w:color w:val="auto"/>
          <w:sz w:val="32"/>
          <w:szCs w:val="32"/>
        </w:rPr>
        <w:t>本项目，</w:t>
      </w:r>
      <w:r>
        <w:rPr>
          <w:rFonts w:ascii="仿宋_GB2312" w:hAnsi="仿宋_GB2312" w:eastAsia="仿宋_GB2312" w:cs="仿宋_GB2312"/>
          <w:iCs/>
          <w:color w:val="auto"/>
          <w:sz w:val="32"/>
          <w:szCs w:val="32"/>
        </w:rPr>
        <w:t>综合</w:t>
      </w:r>
      <w:r>
        <w:rPr>
          <w:rFonts w:hint="eastAsia" w:ascii="仿宋_GB2312" w:hAnsi="仿宋_GB2312" w:eastAsia="仿宋_GB2312" w:cs="仿宋_GB2312"/>
          <w:iCs/>
          <w:color w:val="auto"/>
          <w:sz w:val="32"/>
          <w:szCs w:val="32"/>
        </w:rPr>
        <w:t>自评</w:t>
      </w:r>
      <w:r>
        <w:rPr>
          <w:rFonts w:ascii="仿宋_GB2312" w:hAnsi="仿宋_GB2312" w:eastAsia="仿宋_GB2312" w:cs="仿宋_GB2312"/>
          <w:iCs/>
          <w:color w:val="auto"/>
          <w:sz w:val="32"/>
          <w:szCs w:val="32"/>
        </w:rPr>
        <w:t>得分为</w:t>
      </w:r>
      <w:r>
        <w:rPr>
          <w:rFonts w:hint="eastAsia" w:ascii="仿宋_GB2312" w:hAnsi="仿宋_GB2312" w:eastAsia="仿宋_GB2312" w:cs="仿宋_GB2312"/>
          <w:iCs/>
          <w:color w:val="auto"/>
          <w:sz w:val="32"/>
          <w:szCs w:val="32"/>
          <w:highlight w:val="none"/>
          <w:lang w:val="en-US" w:eastAsia="zh-CN"/>
        </w:rPr>
        <w:t>99.5</w:t>
      </w:r>
      <w:r>
        <w:rPr>
          <w:rFonts w:ascii="仿宋_GB2312" w:hAnsi="仿宋_GB2312" w:eastAsia="仿宋_GB2312" w:cs="仿宋_GB2312"/>
          <w:iCs/>
          <w:color w:val="auto"/>
          <w:sz w:val="32"/>
          <w:szCs w:val="32"/>
          <w:highlight w:val="none"/>
        </w:rPr>
        <w:t>分</w:t>
      </w:r>
      <w:r>
        <w:rPr>
          <w:rFonts w:ascii="仿宋_GB2312" w:hAnsi="仿宋_GB2312" w:eastAsia="仿宋_GB2312" w:cs="仿宋_GB2312"/>
          <w:iCs/>
          <w:color w:val="auto"/>
          <w:sz w:val="32"/>
          <w:szCs w:val="32"/>
        </w:rPr>
        <w:t>。</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color w:val="auto"/>
        </w:rPr>
      </w:pPr>
      <w:r>
        <w:rPr>
          <w:rFonts w:hint="eastAsia" w:ascii="仿宋_GB2312" w:hAnsi="仿宋_GB2312" w:eastAsia="仿宋_GB2312" w:cs="仿宋_GB2312"/>
          <w:iCs/>
          <w:color w:val="auto"/>
          <w:sz w:val="32"/>
          <w:szCs w:val="32"/>
        </w:rPr>
        <w:t>本项目绩效自评报告将按照规定要求，</w:t>
      </w:r>
      <w:r>
        <w:rPr>
          <w:rFonts w:ascii="仿宋_GB2312" w:hAnsi="仿宋_GB2312" w:eastAsia="仿宋_GB2312" w:cs="仿宋_GB2312"/>
          <w:iCs/>
          <w:color w:val="auto"/>
          <w:sz w:val="32"/>
          <w:szCs w:val="32"/>
        </w:rPr>
        <w:t>通过门户网站或张榜公示等方式向社会公开，接受社会监督。</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fldChar w:fldCharType="begin"/>
    </w:r>
    <w:r>
      <w:instrText xml:space="preserve">PAGE   \* MERGEFORMAT</w:instrText>
    </w:r>
    <w:r>
      <w:fldChar w:fldCharType="separate"/>
    </w:r>
    <w:r>
      <w:rPr>
        <w:lang w:val="zh-CN"/>
      </w:rPr>
      <w:t>3</w:t>
    </w:r>
    <w:r>
      <w:fldChar w:fldCharType="end"/>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dmZTFjZGJiOTNjNzQ3NGIwYWU5MGVlODMwMjY1NWYifQ=="/>
  </w:docVars>
  <w:rsids>
    <w:rsidRoot w:val="00477BED"/>
    <w:rsid w:val="000635A2"/>
    <w:rsid w:val="00076C79"/>
    <w:rsid w:val="000A5A76"/>
    <w:rsid w:val="000D439B"/>
    <w:rsid w:val="000E59AC"/>
    <w:rsid w:val="00101E48"/>
    <w:rsid w:val="001157CD"/>
    <w:rsid w:val="001510A9"/>
    <w:rsid w:val="00164B84"/>
    <w:rsid w:val="001866F7"/>
    <w:rsid w:val="001C04CF"/>
    <w:rsid w:val="001D316D"/>
    <w:rsid w:val="001E307F"/>
    <w:rsid w:val="001E7FF6"/>
    <w:rsid w:val="001F1A6C"/>
    <w:rsid w:val="002431FF"/>
    <w:rsid w:val="00244CE7"/>
    <w:rsid w:val="00262BB2"/>
    <w:rsid w:val="002B12DE"/>
    <w:rsid w:val="002B6039"/>
    <w:rsid w:val="002E6EE1"/>
    <w:rsid w:val="0031466F"/>
    <w:rsid w:val="00350956"/>
    <w:rsid w:val="00362FEA"/>
    <w:rsid w:val="003A15F4"/>
    <w:rsid w:val="004041FF"/>
    <w:rsid w:val="004167C2"/>
    <w:rsid w:val="00425639"/>
    <w:rsid w:val="004611E5"/>
    <w:rsid w:val="00477BED"/>
    <w:rsid w:val="00481536"/>
    <w:rsid w:val="004A3CCC"/>
    <w:rsid w:val="004B718E"/>
    <w:rsid w:val="004D5AD8"/>
    <w:rsid w:val="00504210"/>
    <w:rsid w:val="00525C9E"/>
    <w:rsid w:val="00531CF5"/>
    <w:rsid w:val="00564F9E"/>
    <w:rsid w:val="0057435B"/>
    <w:rsid w:val="00590CF1"/>
    <w:rsid w:val="005B2ED5"/>
    <w:rsid w:val="005C3F39"/>
    <w:rsid w:val="005E6AC9"/>
    <w:rsid w:val="00607882"/>
    <w:rsid w:val="00622812"/>
    <w:rsid w:val="00632633"/>
    <w:rsid w:val="00637041"/>
    <w:rsid w:val="00673E8D"/>
    <w:rsid w:val="00687AB4"/>
    <w:rsid w:val="00691762"/>
    <w:rsid w:val="006B7D94"/>
    <w:rsid w:val="006E2ADE"/>
    <w:rsid w:val="006F0EF4"/>
    <w:rsid w:val="00720B35"/>
    <w:rsid w:val="007577AB"/>
    <w:rsid w:val="00773F9C"/>
    <w:rsid w:val="0077493A"/>
    <w:rsid w:val="007E27EC"/>
    <w:rsid w:val="007E5B8D"/>
    <w:rsid w:val="007F6575"/>
    <w:rsid w:val="008142E8"/>
    <w:rsid w:val="0082407E"/>
    <w:rsid w:val="00844DAC"/>
    <w:rsid w:val="0084710D"/>
    <w:rsid w:val="0085105A"/>
    <w:rsid w:val="0085754A"/>
    <w:rsid w:val="00866CCE"/>
    <w:rsid w:val="008C17FA"/>
    <w:rsid w:val="008E2DE1"/>
    <w:rsid w:val="009355FA"/>
    <w:rsid w:val="0096053C"/>
    <w:rsid w:val="009778BB"/>
    <w:rsid w:val="00980784"/>
    <w:rsid w:val="0098475C"/>
    <w:rsid w:val="009867F1"/>
    <w:rsid w:val="009B148D"/>
    <w:rsid w:val="009F314D"/>
    <w:rsid w:val="009F753E"/>
    <w:rsid w:val="00A03DF1"/>
    <w:rsid w:val="00A17134"/>
    <w:rsid w:val="00A801EE"/>
    <w:rsid w:val="00AB72EF"/>
    <w:rsid w:val="00AB7982"/>
    <w:rsid w:val="00B02131"/>
    <w:rsid w:val="00B133B4"/>
    <w:rsid w:val="00B7041E"/>
    <w:rsid w:val="00B73CAC"/>
    <w:rsid w:val="00B85DDB"/>
    <w:rsid w:val="00BA2783"/>
    <w:rsid w:val="00BB675A"/>
    <w:rsid w:val="00BD30BB"/>
    <w:rsid w:val="00C111A9"/>
    <w:rsid w:val="00C169DE"/>
    <w:rsid w:val="00C57DE3"/>
    <w:rsid w:val="00C869CB"/>
    <w:rsid w:val="00C9484E"/>
    <w:rsid w:val="00CA3978"/>
    <w:rsid w:val="00CA4236"/>
    <w:rsid w:val="00D0710E"/>
    <w:rsid w:val="00D3237E"/>
    <w:rsid w:val="00D62509"/>
    <w:rsid w:val="00D7602C"/>
    <w:rsid w:val="00D91433"/>
    <w:rsid w:val="00D9581A"/>
    <w:rsid w:val="00DA0168"/>
    <w:rsid w:val="00E03900"/>
    <w:rsid w:val="00E11135"/>
    <w:rsid w:val="00E1166D"/>
    <w:rsid w:val="00E36AAD"/>
    <w:rsid w:val="00E94F02"/>
    <w:rsid w:val="00EA3B19"/>
    <w:rsid w:val="00EA65B9"/>
    <w:rsid w:val="00EC26DC"/>
    <w:rsid w:val="00EE57E9"/>
    <w:rsid w:val="00F76C6F"/>
    <w:rsid w:val="00FB1E09"/>
    <w:rsid w:val="00FB6DDD"/>
    <w:rsid w:val="00FE5DD3"/>
    <w:rsid w:val="013F1246"/>
    <w:rsid w:val="01484C81"/>
    <w:rsid w:val="01B82838"/>
    <w:rsid w:val="04D836D0"/>
    <w:rsid w:val="04DE101D"/>
    <w:rsid w:val="05356534"/>
    <w:rsid w:val="062866AB"/>
    <w:rsid w:val="068A151F"/>
    <w:rsid w:val="06A448CF"/>
    <w:rsid w:val="06FF227F"/>
    <w:rsid w:val="0775008D"/>
    <w:rsid w:val="07DD21AF"/>
    <w:rsid w:val="0811193C"/>
    <w:rsid w:val="085F5D7F"/>
    <w:rsid w:val="08A8436F"/>
    <w:rsid w:val="08C933D8"/>
    <w:rsid w:val="093259F3"/>
    <w:rsid w:val="094D16B8"/>
    <w:rsid w:val="09913E17"/>
    <w:rsid w:val="0A375730"/>
    <w:rsid w:val="0A7259D8"/>
    <w:rsid w:val="0B530AC9"/>
    <w:rsid w:val="0B804FD7"/>
    <w:rsid w:val="0C293915"/>
    <w:rsid w:val="0D2D6A1C"/>
    <w:rsid w:val="0DFC6EB6"/>
    <w:rsid w:val="0E7B6433"/>
    <w:rsid w:val="0F40581B"/>
    <w:rsid w:val="0FB57FB7"/>
    <w:rsid w:val="10345B46"/>
    <w:rsid w:val="10C671FB"/>
    <w:rsid w:val="10E93E90"/>
    <w:rsid w:val="11826F8A"/>
    <w:rsid w:val="126F7391"/>
    <w:rsid w:val="12900B58"/>
    <w:rsid w:val="130D64A2"/>
    <w:rsid w:val="147C1B29"/>
    <w:rsid w:val="149B7734"/>
    <w:rsid w:val="14FC7942"/>
    <w:rsid w:val="15BE3457"/>
    <w:rsid w:val="16AC4E5E"/>
    <w:rsid w:val="16DE521B"/>
    <w:rsid w:val="180343EB"/>
    <w:rsid w:val="1870263E"/>
    <w:rsid w:val="18835A91"/>
    <w:rsid w:val="1C2A0883"/>
    <w:rsid w:val="1F203647"/>
    <w:rsid w:val="20566C4C"/>
    <w:rsid w:val="20CC311F"/>
    <w:rsid w:val="21A31C30"/>
    <w:rsid w:val="21A93166"/>
    <w:rsid w:val="231A3433"/>
    <w:rsid w:val="234174BA"/>
    <w:rsid w:val="245A462F"/>
    <w:rsid w:val="247C0DC3"/>
    <w:rsid w:val="24CC7E8F"/>
    <w:rsid w:val="25E237FF"/>
    <w:rsid w:val="265B57F1"/>
    <w:rsid w:val="26D75013"/>
    <w:rsid w:val="2766466B"/>
    <w:rsid w:val="27851253"/>
    <w:rsid w:val="27FC1492"/>
    <w:rsid w:val="28C234B9"/>
    <w:rsid w:val="29074326"/>
    <w:rsid w:val="29A44584"/>
    <w:rsid w:val="2A0A292C"/>
    <w:rsid w:val="2A2C02EA"/>
    <w:rsid w:val="2AF6579E"/>
    <w:rsid w:val="2B424747"/>
    <w:rsid w:val="2BAF7B59"/>
    <w:rsid w:val="2C2A56DC"/>
    <w:rsid w:val="2D992BED"/>
    <w:rsid w:val="2FFA732F"/>
    <w:rsid w:val="30FD5D6F"/>
    <w:rsid w:val="32611749"/>
    <w:rsid w:val="32FC739D"/>
    <w:rsid w:val="3308122F"/>
    <w:rsid w:val="3373180F"/>
    <w:rsid w:val="34E7513E"/>
    <w:rsid w:val="351B6E32"/>
    <w:rsid w:val="35623DE4"/>
    <w:rsid w:val="35723D4D"/>
    <w:rsid w:val="35B45C86"/>
    <w:rsid w:val="360B3381"/>
    <w:rsid w:val="3679623C"/>
    <w:rsid w:val="36FC0C18"/>
    <w:rsid w:val="374544A5"/>
    <w:rsid w:val="3765282F"/>
    <w:rsid w:val="37766FC0"/>
    <w:rsid w:val="37966E9D"/>
    <w:rsid w:val="38B811F7"/>
    <w:rsid w:val="39B95BC6"/>
    <w:rsid w:val="3A340D43"/>
    <w:rsid w:val="3A644887"/>
    <w:rsid w:val="3D185B36"/>
    <w:rsid w:val="40284A51"/>
    <w:rsid w:val="40BC51D8"/>
    <w:rsid w:val="411671AB"/>
    <w:rsid w:val="41615490"/>
    <w:rsid w:val="41B3224E"/>
    <w:rsid w:val="41B6047A"/>
    <w:rsid w:val="42635443"/>
    <w:rsid w:val="42881B73"/>
    <w:rsid w:val="42C41CE4"/>
    <w:rsid w:val="42EC6A00"/>
    <w:rsid w:val="434B72DA"/>
    <w:rsid w:val="43964C28"/>
    <w:rsid w:val="43D752E4"/>
    <w:rsid w:val="44123161"/>
    <w:rsid w:val="46291348"/>
    <w:rsid w:val="46736836"/>
    <w:rsid w:val="469345CE"/>
    <w:rsid w:val="46A462C3"/>
    <w:rsid w:val="46B856BC"/>
    <w:rsid w:val="47C1739D"/>
    <w:rsid w:val="48A10D2F"/>
    <w:rsid w:val="4B652BCD"/>
    <w:rsid w:val="4BF34932"/>
    <w:rsid w:val="4C450C27"/>
    <w:rsid w:val="4CE332BC"/>
    <w:rsid w:val="4D220468"/>
    <w:rsid w:val="4D8F554E"/>
    <w:rsid w:val="4DF66422"/>
    <w:rsid w:val="4F0423DC"/>
    <w:rsid w:val="4F41037F"/>
    <w:rsid w:val="4FBC5B56"/>
    <w:rsid w:val="4FBF090F"/>
    <w:rsid w:val="529C3F04"/>
    <w:rsid w:val="5447697D"/>
    <w:rsid w:val="546D5D37"/>
    <w:rsid w:val="54F92511"/>
    <w:rsid w:val="550106AB"/>
    <w:rsid w:val="59385552"/>
    <w:rsid w:val="5A5844D1"/>
    <w:rsid w:val="5B127569"/>
    <w:rsid w:val="5B8337A3"/>
    <w:rsid w:val="5B9655EE"/>
    <w:rsid w:val="5CA066E2"/>
    <w:rsid w:val="5D243653"/>
    <w:rsid w:val="5DA35E7E"/>
    <w:rsid w:val="5E517D5D"/>
    <w:rsid w:val="5F0A38BC"/>
    <w:rsid w:val="5F860125"/>
    <w:rsid w:val="60565B67"/>
    <w:rsid w:val="60B66CB8"/>
    <w:rsid w:val="60C34F31"/>
    <w:rsid w:val="61F17DCD"/>
    <w:rsid w:val="651B358E"/>
    <w:rsid w:val="651F3ADB"/>
    <w:rsid w:val="65246B24"/>
    <w:rsid w:val="663D1E8A"/>
    <w:rsid w:val="66E519D9"/>
    <w:rsid w:val="67421AB3"/>
    <w:rsid w:val="674315A6"/>
    <w:rsid w:val="674F2C34"/>
    <w:rsid w:val="67921C85"/>
    <w:rsid w:val="67A105D0"/>
    <w:rsid w:val="67E53C8C"/>
    <w:rsid w:val="68A439CF"/>
    <w:rsid w:val="68B32F0E"/>
    <w:rsid w:val="6A282B5D"/>
    <w:rsid w:val="6A893829"/>
    <w:rsid w:val="6BBF57BF"/>
    <w:rsid w:val="6BDD0871"/>
    <w:rsid w:val="6DFD7E2A"/>
    <w:rsid w:val="6E1D4216"/>
    <w:rsid w:val="6EE2762C"/>
    <w:rsid w:val="6EF54496"/>
    <w:rsid w:val="6F563FF7"/>
    <w:rsid w:val="6FC17085"/>
    <w:rsid w:val="6FDB2D58"/>
    <w:rsid w:val="7116043B"/>
    <w:rsid w:val="72D41E59"/>
    <w:rsid w:val="739B405D"/>
    <w:rsid w:val="76DB2C18"/>
    <w:rsid w:val="77012BAA"/>
    <w:rsid w:val="77147E3D"/>
    <w:rsid w:val="77240AD1"/>
    <w:rsid w:val="77B50195"/>
    <w:rsid w:val="77FB44DB"/>
    <w:rsid w:val="784F295E"/>
    <w:rsid w:val="79582BCA"/>
    <w:rsid w:val="79AE5E4E"/>
    <w:rsid w:val="7A616B9A"/>
    <w:rsid w:val="7B3167DD"/>
    <w:rsid w:val="7B89572E"/>
    <w:rsid w:val="7BD34122"/>
    <w:rsid w:val="7CAF01FB"/>
    <w:rsid w:val="7CE97A31"/>
    <w:rsid w:val="7DE92023"/>
    <w:rsid w:val="7E0C7AC0"/>
    <w:rsid w:val="7FE14E5A"/>
    <w:rsid w:val="7FF743A7"/>
    <w:rsid w:val="7FFB3AD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character" w:default="1" w:styleId="10">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unhideWhenUsed/>
    <w:qFormat/>
    <w:uiPriority w:val="99"/>
    <w:pPr>
      <w:spacing w:after="120"/>
    </w:pPr>
    <w:rPr>
      <w:rFonts w:cs="Times New Roman"/>
    </w:rPr>
  </w:style>
  <w:style w:type="paragraph" w:styleId="3">
    <w:name w:val="annotation text"/>
    <w:basedOn w:val="1"/>
    <w:unhideWhenUsed/>
    <w:qFormat/>
    <w:uiPriority w:val="99"/>
    <w:pPr>
      <w:jc w:val="left"/>
    </w:pPr>
  </w:style>
  <w:style w:type="paragraph" w:styleId="4">
    <w:name w:val="Balloon Text"/>
    <w:basedOn w:val="1"/>
    <w:link w:val="14"/>
    <w:unhideWhenUsed/>
    <w:qFormat/>
    <w:uiPriority w:val="99"/>
    <w:rPr>
      <w:sz w:val="18"/>
      <w:szCs w:val="18"/>
    </w:rPr>
  </w:style>
  <w:style w:type="paragraph" w:styleId="5">
    <w:name w:val="footer"/>
    <w:basedOn w:val="1"/>
    <w:link w:val="16"/>
    <w:unhideWhenUsed/>
    <w:qFormat/>
    <w:uiPriority w:val="99"/>
    <w:pPr>
      <w:tabs>
        <w:tab w:val="center" w:pos="4153"/>
        <w:tab w:val="right" w:pos="8306"/>
      </w:tabs>
      <w:snapToGrid w:val="0"/>
      <w:jc w:val="left"/>
    </w:pPr>
    <w:rPr>
      <w:sz w:val="18"/>
      <w:szCs w:val="18"/>
    </w:rPr>
  </w:style>
  <w:style w:type="paragraph" w:styleId="6">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footnote text"/>
    <w:basedOn w:val="1"/>
    <w:link w:val="13"/>
    <w:unhideWhenUsed/>
    <w:qFormat/>
    <w:uiPriority w:val="99"/>
    <w:pPr>
      <w:snapToGrid w:val="0"/>
      <w:jc w:val="left"/>
    </w:pPr>
    <w:rPr>
      <w:rFonts w:ascii="Calibri" w:hAnsi="Calibri" w:eastAsia="宋体" w:cs="Times New Roman"/>
      <w:sz w:val="18"/>
      <w:szCs w:val="18"/>
    </w:rPr>
  </w:style>
  <w:style w:type="paragraph" w:styleId="8">
    <w:name w:val="Body Text First Indent"/>
    <w:basedOn w:val="2"/>
    <w:qFormat/>
    <w:uiPriority w:val="0"/>
    <w:pPr>
      <w:spacing w:after="0"/>
      <w:ind w:firstLine="420" w:firstLineChars="100"/>
    </w:pPr>
    <w:rPr>
      <w:rFonts w:ascii="宋体" w:hAnsi="宋体" w:cs="宋体"/>
      <w:sz w:val="21"/>
      <w:lang w:val="zh-CN" w:bidi="zh-CN"/>
    </w:rPr>
  </w:style>
  <w:style w:type="character" w:styleId="11">
    <w:name w:val="Strong"/>
    <w:qFormat/>
    <w:uiPriority w:val="0"/>
    <w:rPr>
      <w:rFonts w:cs="Times New Roman"/>
      <w:b/>
      <w:bCs/>
    </w:rPr>
  </w:style>
  <w:style w:type="character" w:styleId="12">
    <w:name w:val="annotation reference"/>
    <w:basedOn w:val="10"/>
    <w:unhideWhenUsed/>
    <w:qFormat/>
    <w:uiPriority w:val="99"/>
    <w:rPr>
      <w:sz w:val="21"/>
      <w:szCs w:val="21"/>
    </w:rPr>
  </w:style>
  <w:style w:type="character" w:customStyle="1" w:styleId="13">
    <w:name w:val="脚注文本 Char"/>
    <w:basedOn w:val="10"/>
    <w:link w:val="7"/>
    <w:qFormat/>
    <w:uiPriority w:val="99"/>
    <w:rPr>
      <w:rFonts w:ascii="Calibri" w:hAnsi="Calibri" w:eastAsia="宋体" w:cs="Times New Roman"/>
      <w:sz w:val="18"/>
      <w:szCs w:val="18"/>
    </w:rPr>
  </w:style>
  <w:style w:type="character" w:customStyle="1" w:styleId="14">
    <w:name w:val="批注框文本 Char"/>
    <w:basedOn w:val="10"/>
    <w:link w:val="4"/>
    <w:semiHidden/>
    <w:qFormat/>
    <w:uiPriority w:val="99"/>
    <w:rPr>
      <w:kern w:val="2"/>
      <w:sz w:val="18"/>
      <w:szCs w:val="18"/>
    </w:rPr>
  </w:style>
  <w:style w:type="character" w:customStyle="1" w:styleId="15">
    <w:name w:val="页眉 Char"/>
    <w:basedOn w:val="10"/>
    <w:link w:val="6"/>
    <w:qFormat/>
    <w:uiPriority w:val="99"/>
    <w:rPr>
      <w:rFonts w:ascii="Calibri" w:hAnsi="Calibri" w:eastAsia="宋体" w:cs="黑体"/>
      <w:kern w:val="2"/>
      <w:sz w:val="18"/>
      <w:szCs w:val="18"/>
    </w:rPr>
  </w:style>
  <w:style w:type="character" w:customStyle="1" w:styleId="16">
    <w:name w:val="页脚 Char"/>
    <w:basedOn w:val="10"/>
    <w:link w:val="5"/>
    <w:qFormat/>
    <w:uiPriority w:val="99"/>
    <w:rPr>
      <w:rFonts w:ascii="Calibri" w:hAnsi="Calibri" w:eastAsia="宋体" w:cs="黑体"/>
      <w:kern w:val="2"/>
      <w:sz w:val="18"/>
      <w:szCs w:val="18"/>
    </w:rPr>
  </w:style>
  <w:style w:type="character" w:customStyle="1" w:styleId="17">
    <w:name w:val="font21"/>
    <w:basedOn w:val="10"/>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2012dnd.com</Company>
  <Pages>9</Pages>
  <Words>3172</Words>
  <Characters>3451</Characters>
  <Lines>23</Lines>
  <Paragraphs>6</Paragraphs>
  <TotalTime>13</TotalTime>
  <ScaleCrop>false</ScaleCrop>
  <LinksUpToDate>false</LinksUpToDate>
  <CharactersWithSpaces>3473</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2020-05-04T02:32:00Z</dcterms:created>
  <dc:creator>zhangyanping</dc:creator>
  <cp:lastModifiedBy>Administrator</cp:lastModifiedBy>
  <cp:lastPrinted>2019-11-29T11:32:00Z</cp:lastPrinted>
  <dcterms:modified xsi:type="dcterms:W3CDTF">2023-02-10T11:01:16Z</dcterms:modified>
  <dc:title>塔城市阿不都拉乡2021年财政专项扶贫资金绩效自评总结报告</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669DA7789C834330B07374E6B95FE124</vt:lpwstr>
  </property>
</Properties>
</file>