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2" w:name="_GoBack"/>
      <w:bookmarkEnd w:id="2"/>
    </w:p>
    <w:p>
      <w:pPr>
        <w:pStyle w:val="7"/>
        <w:spacing w:line="360" w:lineRule="auto"/>
        <w:jc w:val="center"/>
        <w:rPr>
          <w:b/>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额敏县</w:t>
      </w:r>
      <w:r>
        <w:rPr>
          <w:rFonts w:hint="eastAsia" w:ascii="方正小标宋简体" w:hAnsi="方正小标宋简体" w:eastAsia="方正小标宋简体" w:cs="方正小标宋简体"/>
          <w:b w:val="0"/>
          <w:bCs/>
          <w:sz w:val="44"/>
          <w:szCs w:val="44"/>
          <w:lang w:val="en-US" w:eastAsia="zh-CN"/>
        </w:rPr>
        <w:t>上户镇</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年财政</w:t>
      </w:r>
      <w:r>
        <w:rPr>
          <w:rFonts w:hint="eastAsia" w:ascii="方正小标宋简体" w:hAnsi="方正小标宋简体" w:eastAsia="方正小标宋简体" w:cs="方正小标宋简体"/>
          <w:b w:val="0"/>
          <w:bCs/>
          <w:sz w:val="44"/>
          <w:szCs w:val="44"/>
          <w:lang w:val="en-US" w:eastAsia="zh-CN"/>
        </w:rPr>
        <w:t>衔接推进乡村</w:t>
      </w: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振兴补助</w:t>
      </w:r>
      <w:r>
        <w:rPr>
          <w:rFonts w:hint="eastAsia" w:ascii="方正小标宋简体" w:hAnsi="方正小标宋简体" w:eastAsia="方正小标宋简体" w:cs="方正小标宋简体"/>
          <w:b w:val="0"/>
          <w:bCs/>
          <w:sz w:val="44"/>
          <w:szCs w:val="44"/>
        </w:rPr>
        <w:t>资金绩效自评总结报告</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b/>
          <w:sz w:val="44"/>
          <w:szCs w:val="44"/>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（202</w:t>
      </w:r>
      <w:r>
        <w:rPr>
          <w:rFonts w:hint="eastAsia" w:ascii="仿宋_GB2312" w:hAnsi="仿宋_GB2312" w:eastAsia="仿宋_GB2312" w:cs="仿宋_GB2312"/>
          <w:sz w:val="36"/>
          <w:szCs w:val="36"/>
          <w:lang w:val="en-US" w:eastAsia="zh-CN"/>
        </w:rPr>
        <w:t>2</w:t>
      </w:r>
      <w:r>
        <w:rPr>
          <w:rFonts w:hint="eastAsia" w:ascii="仿宋_GB2312" w:hAnsi="仿宋_GB2312" w:eastAsia="仿宋_GB2312" w:cs="仿宋_GB2312"/>
          <w:sz w:val="36"/>
          <w:szCs w:val="36"/>
        </w:rPr>
        <w:t>年度）</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ind w:left="1800" w:hanging="1800" w:hangingChars="500"/>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项目名称：额敏县上户镇直属三村供水管网及附属设施建设项目</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实施单位（公章）：</w:t>
      </w:r>
      <w:r>
        <w:rPr>
          <w:rFonts w:hint="eastAsia" w:ascii="仿宋_GB2312" w:hAnsi="仿宋_GB2312" w:eastAsia="仿宋_GB2312" w:cs="仿宋_GB2312"/>
          <w:sz w:val="36"/>
          <w:szCs w:val="36"/>
          <w:lang w:val="en-US" w:eastAsia="zh-CN"/>
        </w:rPr>
        <w:t>额敏县上户镇人民政府</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主管部门（公章）：</w:t>
      </w:r>
      <w:r>
        <w:rPr>
          <w:rFonts w:hint="eastAsia" w:ascii="仿宋_GB2312" w:hAnsi="仿宋_GB2312" w:eastAsia="仿宋_GB2312" w:cs="仿宋_GB2312"/>
          <w:sz w:val="36"/>
          <w:szCs w:val="36"/>
          <w:lang w:val="en-US" w:eastAsia="zh-CN"/>
        </w:rPr>
        <w:t>额敏县乡村振兴局</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项目负责人（签章）：</w:t>
      </w:r>
      <w:r>
        <w:rPr>
          <w:rFonts w:hint="eastAsia" w:ascii="仿宋_GB2312" w:hAnsi="仿宋_GB2312" w:eastAsia="仿宋_GB2312" w:cs="仿宋_GB2312"/>
          <w:sz w:val="36"/>
          <w:szCs w:val="36"/>
          <w:lang w:val="en-US" w:eastAsia="zh-CN"/>
        </w:rPr>
        <w:t>蒋  伟</w:t>
      </w:r>
    </w:p>
    <w:p>
      <w:pPr>
        <w:pStyle w:val="7"/>
        <w:keepNext w:val="0"/>
        <w:keepLines w:val="0"/>
        <w:pageBreakBefore w:val="0"/>
        <w:widowControl w:val="0"/>
        <w:kinsoku/>
        <w:wordWrap/>
        <w:overflowPunct/>
        <w:topLinePunct w:val="0"/>
        <w:autoSpaceDE/>
        <w:autoSpaceDN/>
        <w:bidi w:val="0"/>
        <w:adjustRightInd/>
        <w:snapToGrid w:val="0"/>
        <w:spacing w:line="600" w:lineRule="exact"/>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填报时间：202</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15</w:t>
      </w:r>
      <w:r>
        <w:rPr>
          <w:rFonts w:hint="eastAsia" w:ascii="仿宋_GB2312" w:hAnsi="仿宋_GB2312" w:eastAsia="仿宋_GB2312" w:cs="仿宋_GB2312"/>
          <w:sz w:val="36"/>
          <w:szCs w:val="36"/>
        </w:rPr>
        <w:t>日</w:t>
      </w:r>
    </w:p>
    <w:p>
      <w:pPr>
        <w:pStyle w:val="7"/>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简体" w:hAnsi="方正小标宋简体" w:eastAsia="方正小标宋简体" w:cs="方正小标宋简体"/>
          <w:color w:val="auto"/>
          <w:sz w:val="36"/>
          <w:szCs w:val="36"/>
          <w:lang w:eastAsia="zh-CN"/>
        </w:rPr>
      </w:pPr>
      <w:r>
        <w:rPr>
          <w:rFonts w:hint="eastAsia" w:ascii="方正小标宋简体" w:hAnsi="方正小标宋简体" w:eastAsia="方正小标宋简体" w:cs="方正小标宋简体"/>
          <w:color w:val="auto"/>
          <w:sz w:val="36"/>
          <w:szCs w:val="36"/>
          <w:lang w:eastAsia="zh-CN"/>
        </w:rPr>
        <w:t>额敏县</w:t>
      </w:r>
      <w:r>
        <w:rPr>
          <w:rFonts w:hint="eastAsia" w:ascii="方正小标宋简体" w:hAnsi="方正小标宋简体" w:eastAsia="方正小标宋简体" w:cs="方正小标宋简体"/>
          <w:color w:val="auto"/>
          <w:sz w:val="36"/>
          <w:szCs w:val="36"/>
          <w:lang w:val="en-US" w:eastAsia="zh-CN"/>
        </w:rPr>
        <w:t>上户镇</w:t>
      </w:r>
      <w:r>
        <w:rPr>
          <w:rFonts w:hint="eastAsia" w:ascii="方正小标宋简体" w:hAnsi="方正小标宋简体" w:eastAsia="方正小标宋简体" w:cs="方正小标宋简体"/>
          <w:color w:val="auto"/>
          <w:sz w:val="36"/>
          <w:szCs w:val="36"/>
          <w:lang w:eastAsia="zh-CN"/>
        </w:rPr>
        <w:t>2022年财政衔接推进乡村振兴</w:t>
      </w: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_GBK" w:hAnsi="黑体" w:eastAsia="方正小标宋_GBK" w:cs="黑体"/>
          <w:color w:val="auto"/>
          <w:sz w:val="36"/>
          <w:szCs w:val="36"/>
          <w:lang w:eastAsia="zh-CN"/>
        </w:rPr>
      </w:pPr>
      <w:r>
        <w:rPr>
          <w:rFonts w:hint="eastAsia" w:ascii="方正小标宋简体" w:hAnsi="方正小标宋简体" w:eastAsia="方正小标宋简体" w:cs="方正小标宋简体"/>
          <w:color w:val="auto"/>
          <w:sz w:val="36"/>
          <w:szCs w:val="36"/>
          <w:lang w:val="en-US" w:eastAsia="zh-CN"/>
        </w:rPr>
        <w:t>补助</w:t>
      </w:r>
      <w:r>
        <w:rPr>
          <w:rFonts w:hint="eastAsia" w:ascii="方正小标宋简体" w:hAnsi="方正小标宋简体" w:eastAsia="方正小标宋简体" w:cs="方正小标宋简体"/>
          <w:color w:val="auto"/>
          <w:sz w:val="36"/>
          <w:szCs w:val="36"/>
          <w:lang w:eastAsia="zh-CN"/>
        </w:rPr>
        <w:t>资金绩效自评总结报告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黑体" w:hAnsi="黑体" w:eastAsia="黑体" w:cs="仿宋_GB2312"/>
          <w:b/>
          <w:color w:val="auto"/>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黑体" w:hAnsi="黑体" w:eastAsia="黑体" w:cs="仿宋_GB2312"/>
          <w:b/>
          <w:color w:val="auto"/>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w:t>
      </w:r>
      <w:r>
        <w:rPr>
          <w:rFonts w:hint="eastAsia" w:ascii="仿宋_GB2312" w:hAnsi="仿宋_GB2312" w:eastAsia="仿宋_GB2312" w:cs="仿宋_GB2312"/>
          <w:b/>
          <w:color w:val="auto"/>
          <w:sz w:val="32"/>
          <w:szCs w:val="32"/>
          <w:lang w:eastAsia="zh-CN"/>
        </w:rPr>
        <w:t>财政衔接推进乡村振兴</w:t>
      </w:r>
      <w:r>
        <w:rPr>
          <w:rFonts w:hint="eastAsia" w:ascii="仿宋_GB2312" w:hAnsi="仿宋_GB2312" w:eastAsia="仿宋_GB2312" w:cs="仿宋_GB2312"/>
          <w:b/>
          <w:color w:val="auto"/>
          <w:sz w:val="32"/>
          <w:szCs w:val="32"/>
          <w:lang w:val="en-US" w:eastAsia="zh-CN"/>
        </w:rPr>
        <w:t>补助</w:t>
      </w:r>
      <w:r>
        <w:rPr>
          <w:rFonts w:hint="eastAsia" w:ascii="仿宋_GB2312" w:hAnsi="仿宋_GB2312" w:eastAsia="仿宋_GB2312" w:cs="仿宋_GB2312"/>
          <w:b/>
          <w:color w:val="auto"/>
          <w:sz w:val="32"/>
          <w:szCs w:val="32"/>
          <w:lang w:eastAsia="zh-CN"/>
        </w:rPr>
        <w:t>资金</w:t>
      </w:r>
      <w:r>
        <w:rPr>
          <w:rFonts w:hint="eastAsia" w:ascii="仿宋_GB2312" w:hAnsi="仿宋_GB2312" w:eastAsia="仿宋_GB2312" w:cs="仿宋_GB2312"/>
          <w:b/>
          <w:color w:val="auto"/>
          <w:sz w:val="32"/>
          <w:szCs w:val="32"/>
        </w:rPr>
        <w:t>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本项目合计下达资金</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万元。全部为</w:t>
      </w:r>
      <w:r>
        <w:rPr>
          <w:rFonts w:hint="eastAsia" w:ascii="仿宋_GB2312" w:hAnsi="仿宋_GB2312" w:eastAsia="仿宋_GB2312" w:cs="仿宋_GB2312"/>
          <w:color w:val="auto"/>
          <w:sz w:val="32"/>
          <w:szCs w:val="32"/>
          <w:lang w:val="en-US" w:eastAsia="zh-CN"/>
        </w:rPr>
        <w:t>自治区</w:t>
      </w:r>
      <w:r>
        <w:rPr>
          <w:rFonts w:hint="eastAsia" w:ascii="仿宋_GB2312" w:hAnsi="仿宋_GB2312" w:eastAsia="仿宋_GB2312" w:cs="仿宋_GB2312"/>
          <w:color w:val="auto"/>
          <w:sz w:val="32"/>
          <w:szCs w:val="32"/>
        </w:rPr>
        <w:t>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塔地财扶【2021】19号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转发自治区财政厅关于提前下达2022年自治区财政衔接推进乡村振兴补助资金预算的通知</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val="en-US" w:eastAsia="zh-CN"/>
        </w:rPr>
        <w:t>自治区财政衔接推进乡村振兴补助资金107</w:t>
      </w:r>
      <w:r>
        <w:rPr>
          <w:rFonts w:hint="eastAsia" w:ascii="仿宋_GB2312" w:hAnsi="仿宋_GB2312" w:eastAsia="仿宋_GB2312" w:cs="仿宋_GB2312"/>
          <w:color w:val="auto"/>
          <w:sz w:val="32"/>
          <w:szCs w:val="32"/>
        </w:rPr>
        <w:t>万元；</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2.</w:t>
      </w:r>
      <w:r>
        <w:rPr>
          <w:rFonts w:hint="eastAsia" w:ascii="仿宋_GB2312" w:hAnsi="仿宋_GB2312" w:eastAsia="仿宋_GB2312" w:cs="仿宋_GB2312"/>
          <w:b/>
          <w:color w:val="auto"/>
          <w:sz w:val="32"/>
          <w:szCs w:val="32"/>
        </w:rPr>
        <w:t>项目情况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我县财政衔接推进乡村振兴补助资金</w:t>
      </w:r>
      <w:r>
        <w:rPr>
          <w:rFonts w:hint="eastAsia" w:ascii="仿宋_GB2312" w:hAnsi="仿宋_GB2312" w:eastAsia="仿宋_GB2312" w:cs="仿宋_GB2312"/>
          <w:color w:val="auto"/>
          <w:sz w:val="32"/>
          <w:szCs w:val="32"/>
        </w:rPr>
        <w:t>安排，该项目主要</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我</w:t>
      </w:r>
      <w:r>
        <w:rPr>
          <w:rFonts w:hint="eastAsia" w:ascii="仿宋_GB2312" w:hAnsi="仿宋_GB2312" w:eastAsia="仿宋_GB2312" w:cs="仿宋_GB2312"/>
          <w:color w:val="auto"/>
          <w:sz w:val="32"/>
          <w:szCs w:val="32"/>
          <w:lang w:val="en-US" w:eastAsia="zh-CN"/>
        </w:rPr>
        <w:t>镇</w:t>
      </w:r>
      <w:r>
        <w:rPr>
          <w:rFonts w:hint="eastAsia" w:ascii="仿宋_GB2312" w:hAnsi="仿宋_GB2312" w:eastAsia="仿宋_GB2312" w:cs="仿宋_GB2312"/>
          <w:color w:val="auto"/>
          <w:sz w:val="32"/>
          <w:szCs w:val="32"/>
        </w:rPr>
        <w:t>基础设施建设。具体情况如下：</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auto"/>
          <w:sz w:val="32"/>
          <w:szCs w:val="32"/>
          <w:lang w:val="en-US" w:eastAsia="zh-CN"/>
        </w:rPr>
        <w:t>额乡振局发【2022】12号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（塔市乡振领发[2022]2号）文件，建设</w:t>
      </w:r>
      <w:r>
        <w:rPr>
          <w:rFonts w:hint="eastAsia" w:ascii="仿宋_GB2312" w:hAnsi="仿宋_GB2312" w:eastAsia="仿宋_GB2312" w:cs="仿宋_GB2312"/>
          <w:color w:val="auto"/>
          <w:sz w:val="32"/>
          <w:szCs w:val="32"/>
        </w:rPr>
        <w:t>内容如下：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项目总投资：</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主要建设内容：</w:t>
      </w:r>
      <w:r>
        <w:rPr>
          <w:rFonts w:hint="eastAsia" w:ascii="仿宋_GB2312" w:hAnsi="仿宋_GB2312" w:eastAsia="仿宋_GB2312" w:cs="仿宋_GB2312"/>
          <w:b w:val="0"/>
          <w:i w:val="0"/>
          <w:caps w:val="0"/>
          <w:color w:val="auto"/>
          <w:spacing w:val="0"/>
          <w:w w:val="100"/>
          <w:sz w:val="32"/>
          <w:szCs w:val="32"/>
        </w:rPr>
        <w:t>新建给水ф160PVC-U管网350米,фD90PVC-U管网6800米，喷头 380个等附属设施;防护设施400米，新建厕所3座;供水设施1套，新装电锅炉2台及配套;新建路沿石638米及其他附属设施建设。</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w:t>
      </w:r>
      <w:r>
        <w:rPr>
          <w:rFonts w:hint="eastAsia" w:ascii="仿宋_GB2312" w:hAnsi="仿宋_GB2312" w:eastAsia="仿宋_GB2312" w:cs="仿宋_GB2312"/>
          <w:b/>
          <w:color w:val="auto"/>
          <w:sz w:val="32"/>
          <w:szCs w:val="32"/>
          <w:lang w:eastAsia="zh-CN"/>
        </w:rPr>
        <w:t>财政衔接推进乡村振兴补助资金</w:t>
      </w:r>
      <w:r>
        <w:rPr>
          <w:rFonts w:hint="eastAsia" w:ascii="仿宋_GB2312" w:hAnsi="仿宋_GB2312" w:eastAsia="仿宋_GB2312" w:cs="仿宋_GB2312"/>
          <w:b/>
          <w:color w:val="auto"/>
          <w:sz w:val="32"/>
          <w:szCs w:val="32"/>
        </w:rPr>
        <w:t>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我县财政衔接推进乡村振兴补助资金</w:t>
      </w:r>
      <w:r>
        <w:rPr>
          <w:rFonts w:hint="eastAsia" w:ascii="仿宋_GB2312" w:hAnsi="仿宋_GB2312" w:eastAsia="仿宋_GB2312" w:cs="仿宋_GB2312"/>
          <w:color w:val="auto"/>
          <w:sz w:val="32"/>
          <w:szCs w:val="32"/>
        </w:rPr>
        <w:t>安排，该项目主要</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基础设施建设申报绩效目标。</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计划新建给水ф160PVC-U管网350米,фD90PVC-U管网6800米，喷头 380个等附属设施;防护设施400米，新建厕所3座;供水设施1套，新装电锅炉2台及配套;新建路沿石638米及其他附属设施建设。大大改变了项目实施区域的生产和生活条件，为建设新农村创造有利的条件，由此带来可观的社会效益与经济效益。</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具体绩效指标见下表：</w:t>
      </w:r>
    </w:p>
    <w:tbl>
      <w:tblPr>
        <w:tblStyle w:val="9"/>
        <w:tblW w:w="828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94"/>
        <w:gridCol w:w="601"/>
        <w:gridCol w:w="2436"/>
        <w:gridCol w:w="2316"/>
        <w:gridCol w:w="2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8287"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287"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0" w:hRule="atLeast"/>
        </w:trPr>
        <w:tc>
          <w:tcPr>
            <w:tcW w:w="119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项目名称</w:t>
            </w:r>
          </w:p>
        </w:tc>
        <w:tc>
          <w:tcPr>
            <w:tcW w:w="2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额敏县上户镇直属三村供水管网及附属设施建设项目</w:t>
            </w:r>
          </w:p>
        </w:tc>
        <w:tc>
          <w:tcPr>
            <w:tcW w:w="231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项目负责人及联系电话</w:t>
            </w:r>
          </w:p>
        </w:tc>
        <w:tc>
          <w:tcPr>
            <w:tcW w:w="234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蒋伟15160808022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主管部门</w:t>
            </w: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乡村振兴局</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实施单位</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额敏县上户镇人民政府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1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资金情况</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（万元）</w:t>
            </w: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年度资金总额：</w:t>
            </w:r>
          </w:p>
        </w:tc>
        <w:tc>
          <w:tcPr>
            <w:tcW w:w="4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11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其中：财政拨款</w:t>
            </w:r>
          </w:p>
        </w:tc>
        <w:tc>
          <w:tcPr>
            <w:tcW w:w="4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1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其他资金</w:t>
            </w:r>
          </w:p>
        </w:tc>
        <w:tc>
          <w:tcPr>
            <w:tcW w:w="4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总体目标</w:t>
            </w:r>
          </w:p>
        </w:tc>
        <w:tc>
          <w:tcPr>
            <w:tcW w:w="76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76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计划新建给水ф160PVC-U管网350米,фD90PVC-U管网6800米，喷头 380个等附属设施;防护设施400米，新建厕所3座;供水设施1套，新装电锅炉2台及配套;新建路沿石638米及其他附属设施建设。大大改变了项目实施区域的生产和生活条件，为建设新农村创造有利的条件，由此带来可观的社会效益与经济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绩效指标</w:t>
            </w: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产出指标</w:t>
            </w:r>
          </w:p>
        </w:tc>
        <w:tc>
          <w:tcPr>
            <w:tcW w:w="243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新建或改善脱贫村饮水设施数量</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新建管网</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=7150米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新建防护设施</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新建厕所</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新建供水设施</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新建路沿石</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新装电锅炉</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项目（工程）验收合格率</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项目（工程）计划开工时间</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项目（工程）计划完工时间</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建筑工程成本</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给排水及附属设施成本</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效益指标</w:t>
            </w:r>
          </w:p>
        </w:tc>
        <w:tc>
          <w:tcPr>
            <w:tcW w:w="2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解决脱贫人口饮水安全问题人数</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受益脱贫人口数</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改善生活生产环境率</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工程设计使用年限</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59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2"/>
                <w:szCs w:val="22"/>
                <w:u w:val="none"/>
              </w:rPr>
            </w:pPr>
          </w:p>
        </w:tc>
        <w:tc>
          <w:tcPr>
            <w:tcW w:w="6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43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指标1：受益户满意度</w:t>
            </w:r>
          </w:p>
        </w:tc>
        <w:tc>
          <w:tcPr>
            <w:tcW w:w="2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r>
    </w:tbl>
    <w:p>
      <w:pPr>
        <w:pStyle w:val="7"/>
        <w:spacing w:line="360" w:lineRule="auto"/>
        <w:rPr>
          <w:rFonts w:hint="eastAsia" w:ascii="黑体" w:hAnsi="黑体" w:eastAsia="黑体"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二</w:t>
      </w:r>
      <w:r>
        <w:rPr>
          <w:rFonts w:hint="eastAsia" w:ascii="仿宋_GB2312" w:hAnsi="仿宋_GB2312" w:eastAsia="仿宋_GB2312" w:cs="仿宋_GB2312"/>
          <w:b/>
          <w:color w:val="auto"/>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项目合计下达资金</w:t>
      </w:r>
      <w:r>
        <w:rPr>
          <w:rFonts w:hint="eastAsia" w:ascii="仿宋_GB2312" w:hAnsi="仿宋_GB2312" w:eastAsia="仿宋_GB2312" w:cs="仿宋_GB2312"/>
          <w:color w:val="auto"/>
          <w:sz w:val="32"/>
          <w:szCs w:val="32"/>
          <w:lang w:val="en-US" w:eastAsia="zh-CN"/>
        </w:rPr>
        <w:t>107万</w:t>
      </w:r>
      <w:r>
        <w:rPr>
          <w:rFonts w:hint="eastAsia" w:ascii="仿宋_GB2312" w:hAnsi="仿宋_GB2312" w:eastAsia="仿宋_GB2312" w:cs="仿宋_GB2312"/>
          <w:color w:val="auto"/>
          <w:sz w:val="32"/>
          <w:szCs w:val="32"/>
        </w:rPr>
        <w:t>元。通过</w:t>
      </w:r>
      <w:r>
        <w:rPr>
          <w:rFonts w:hint="eastAsia" w:ascii="仿宋_GB2312" w:hAnsi="仿宋_GB2312" w:eastAsia="仿宋_GB2312" w:cs="仿宋_GB2312"/>
          <w:bCs/>
          <w:color w:val="auto"/>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根据《国务院办公厅关于转发&lt;财政部、国务院扶贫办、国家发展改革委扶贫项目资金绩效管理办法&gt;的通知》（国办发〔2018〕35号）和《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号）等文件精神，及《新疆维吾尔自治区县级扶贫项目资金绩效管理操作指南（试行）》，对本项目的预算资金执行情况及绩效目标的完成情况开展自评。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highlight w:val="yellow"/>
        </w:rPr>
      </w:pPr>
      <w:r>
        <w:rPr>
          <w:rFonts w:hint="eastAsia" w:ascii="仿宋_GB2312" w:hAnsi="仿宋_GB2312" w:eastAsia="仿宋_GB2312" w:cs="仿宋_GB2312"/>
          <w:b/>
          <w:color w:val="auto"/>
          <w:sz w:val="32"/>
          <w:szCs w:val="32"/>
        </w:rPr>
        <w:t>（三）自评工作开展时间</w:t>
      </w:r>
    </w:p>
    <w:p>
      <w:pPr>
        <w:pStyle w:val="7"/>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自评工作开展方式</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三</w:t>
      </w:r>
      <w:r>
        <w:rPr>
          <w:rFonts w:hint="eastAsia" w:ascii="仿宋_GB2312" w:hAnsi="仿宋_GB2312" w:eastAsia="仿宋_GB2312" w:cs="仿宋_GB2312"/>
          <w:b/>
          <w:color w:val="auto"/>
          <w:sz w:val="32"/>
          <w:szCs w:val="32"/>
          <w:highlight w:val="none"/>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highlight w:val="none"/>
          <w:lang w:val="en-US" w:eastAsia="zh-CN"/>
        </w:rPr>
        <w:t>107</w:t>
      </w:r>
      <w:r>
        <w:rPr>
          <w:rFonts w:hint="eastAsia" w:ascii="仿宋_GB2312" w:hAnsi="仿宋_GB2312" w:eastAsia="仿宋_GB2312" w:cs="仿宋_GB2312"/>
          <w:color w:val="auto"/>
          <w:sz w:val="32"/>
          <w:szCs w:val="32"/>
          <w:highlight w:val="none"/>
        </w:rPr>
        <w:t>万元，实际到位</w:t>
      </w:r>
      <w:r>
        <w:rPr>
          <w:rFonts w:hint="eastAsia" w:ascii="仿宋_GB2312" w:hAnsi="仿宋_GB2312" w:eastAsia="仿宋_GB2312" w:cs="仿宋_GB2312"/>
          <w:color w:val="auto"/>
          <w:sz w:val="32"/>
          <w:szCs w:val="32"/>
          <w:highlight w:val="none"/>
          <w:lang w:val="en-US" w:eastAsia="zh-CN"/>
        </w:rPr>
        <w:t>107</w:t>
      </w:r>
      <w:r>
        <w:rPr>
          <w:rFonts w:hint="eastAsia" w:ascii="仿宋_GB2312" w:hAnsi="仿宋_GB2312" w:eastAsia="仿宋_GB2312" w:cs="仿宋_GB2312"/>
          <w:color w:val="auto"/>
          <w:sz w:val="32"/>
          <w:szCs w:val="32"/>
          <w:highlight w:val="none"/>
        </w:rPr>
        <w:t>万元，全部为中央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自治区</w:t>
      </w:r>
      <w:r>
        <w:rPr>
          <w:rFonts w:hint="eastAsia" w:ascii="仿宋_GB2312" w:hAnsi="仿宋_GB2312" w:eastAsia="仿宋_GB2312" w:cs="仿宋_GB2312"/>
          <w:color w:val="auto"/>
          <w:sz w:val="32"/>
          <w:szCs w:val="32"/>
          <w:highlight w:val="none"/>
          <w:lang w:eastAsia="zh-CN"/>
        </w:rPr>
        <w:t>）财政衔接推进乡村振兴补助资金</w:t>
      </w:r>
      <w:r>
        <w:rPr>
          <w:rFonts w:hint="eastAsia" w:ascii="仿宋_GB2312" w:hAnsi="仿宋_GB2312" w:eastAsia="仿宋_GB2312" w:cs="仿宋_GB2312"/>
          <w:color w:val="auto"/>
          <w:sz w:val="32"/>
          <w:szCs w:val="32"/>
          <w:highlight w:val="none"/>
        </w:rPr>
        <w:t>，资金</w:t>
      </w:r>
      <w:r>
        <w:rPr>
          <w:rFonts w:hint="eastAsia" w:ascii="仿宋_GB2312" w:hAnsi="仿宋_GB2312" w:eastAsia="仿宋_GB2312" w:cs="仿宋_GB2312"/>
          <w:bCs/>
          <w:color w:val="auto"/>
          <w:sz w:val="32"/>
          <w:szCs w:val="32"/>
          <w:highlight w:val="none"/>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98.89</w:t>
      </w:r>
      <w:r>
        <w:rPr>
          <w:rFonts w:hint="eastAsia" w:ascii="仿宋_GB2312" w:hAnsi="仿宋_GB2312" w:eastAsia="仿宋_GB2312" w:cs="仿宋_GB2312"/>
          <w:color w:val="auto"/>
          <w:sz w:val="32"/>
          <w:szCs w:val="32"/>
        </w:rPr>
        <w:t>万元，资金执行率</w:t>
      </w:r>
      <w:r>
        <w:rPr>
          <w:rFonts w:hint="eastAsia" w:ascii="仿宋_GB2312" w:hAnsi="仿宋_GB2312" w:eastAsia="仿宋_GB2312" w:cs="仿宋_GB2312"/>
          <w:color w:val="auto"/>
          <w:sz w:val="32"/>
          <w:szCs w:val="32"/>
          <w:lang w:val="en-US" w:eastAsia="zh-CN"/>
        </w:rPr>
        <w:t>92</w:t>
      </w:r>
      <w:r>
        <w:rPr>
          <w:rFonts w:hint="eastAsia" w:ascii="仿宋_GB2312" w:hAnsi="仿宋_GB2312" w:eastAsia="仿宋_GB2312" w:cs="仿宋_GB2312"/>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资金投入情况：该项目年初预算数</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万元，实际总投入</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万元，该项目资金已全部落实到位,资金来源为财政拨款资金。</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资金使用情况：该项目年初预算数</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98.89</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92</w:t>
      </w:r>
      <w:r>
        <w:rPr>
          <w:rFonts w:hint="eastAsia" w:ascii="仿宋_GB2312" w:hAnsi="仿宋_GB2312" w:eastAsia="仿宋_GB2312" w:cs="仿宋_GB2312"/>
          <w:color w:val="auto"/>
          <w:sz w:val="32"/>
          <w:szCs w:val="32"/>
        </w:rPr>
        <w:t>%，用于</w:t>
      </w:r>
      <w:r>
        <w:rPr>
          <w:rFonts w:hint="eastAsia" w:ascii="仿宋_GB2312" w:hAnsi="仿宋_GB2312" w:eastAsia="仿宋_GB2312" w:cs="仿宋_GB2312"/>
          <w:b w:val="0"/>
          <w:i w:val="0"/>
          <w:caps w:val="0"/>
          <w:color w:val="auto"/>
          <w:spacing w:val="0"/>
          <w:w w:val="100"/>
          <w:sz w:val="32"/>
          <w:szCs w:val="32"/>
        </w:rPr>
        <w:t>额敏县上户镇直属三村供水管网及附属设施建设项目</w:t>
      </w:r>
      <w:r>
        <w:rPr>
          <w:rFonts w:hint="eastAsia" w:ascii="仿宋_GB2312" w:hAnsi="仿宋_GB2312" w:eastAsia="仿宋_GB2312" w:cs="仿宋_GB2312"/>
          <w:b w:val="0"/>
          <w:i w:val="0"/>
          <w:caps w:val="0"/>
          <w:color w:val="auto"/>
          <w:spacing w:val="0"/>
          <w:w w:val="100"/>
          <w:sz w:val="32"/>
          <w:szCs w:val="32"/>
          <w:lang w:eastAsia="zh-CN"/>
        </w:rPr>
        <w:t>，</w:t>
      </w:r>
      <w:r>
        <w:rPr>
          <w:rFonts w:hint="eastAsia" w:ascii="仿宋_GB2312" w:hAnsi="仿宋_GB2312" w:eastAsia="仿宋_GB2312" w:cs="仿宋_GB2312"/>
          <w:b w:val="0"/>
          <w:bCs/>
          <w:i w:val="0"/>
          <w:caps w:val="0"/>
          <w:color w:val="auto"/>
          <w:spacing w:val="0"/>
          <w:w w:val="100"/>
          <w:sz w:val="32"/>
          <w:szCs w:val="32"/>
        </w:rPr>
        <w:t>项目</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iCs/>
          <w:color w:val="auto"/>
          <w:sz w:val="32"/>
          <w:szCs w:val="32"/>
        </w:rPr>
      </w:pPr>
      <w:r>
        <w:rPr>
          <w:rFonts w:hint="eastAsia" w:ascii="仿宋_GB2312" w:hAnsi="仿宋_GB2312" w:eastAsia="仿宋_GB2312" w:cs="仿宋_GB2312"/>
          <w:iCs/>
          <w:color w:val="auto"/>
          <w:sz w:val="32"/>
          <w:szCs w:val="32"/>
        </w:rPr>
        <w:t>上户镇2022年新建给水ф160PVC-U管网350米,фD90PVC-U管网6800米，喷头 380个等附属设施;防护设施400米，新建厕所3座;供水设施1套，新装电锅炉2台及配套;新建路沿石638米及其他附属设施建设。</w:t>
      </w:r>
      <w:r>
        <w:rPr>
          <w:rFonts w:hint="eastAsia" w:ascii="仿宋_GB2312" w:hAnsi="仿宋_GB2312" w:eastAsia="仿宋_GB2312" w:cs="仿宋_GB2312"/>
          <w:iCs/>
          <w:color w:val="auto"/>
          <w:sz w:val="32"/>
          <w:szCs w:val="32"/>
          <w:lang w:val="en-US" w:eastAsia="zh-CN"/>
        </w:rPr>
        <w:t>项目建设</w:t>
      </w:r>
      <w:r>
        <w:rPr>
          <w:rFonts w:hint="eastAsia" w:ascii="仿宋_GB2312" w:hAnsi="仿宋_GB2312" w:eastAsia="仿宋_GB2312" w:cs="仿宋_GB2312"/>
          <w:iCs/>
          <w:color w:val="auto"/>
          <w:sz w:val="32"/>
          <w:szCs w:val="32"/>
        </w:rPr>
        <w:t>改变了项目实施区域的生产和生活条件，为建设新农村创造有利的条件，由此带来可观的社会效益与经济效益。</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本项目共设置一级指标3个，二级指标</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rPr>
        <w:t>个，三级指标</w:t>
      </w:r>
      <w:r>
        <w:rPr>
          <w:rFonts w:hint="eastAsia" w:ascii="仿宋_GB2312" w:hAnsi="仿宋_GB2312" w:eastAsia="仿宋_GB2312" w:cs="仿宋_GB2312"/>
          <w:bCs/>
          <w:color w:val="auto"/>
          <w:sz w:val="32"/>
          <w:szCs w:val="32"/>
          <w:lang w:val="en-US" w:eastAsia="zh-CN"/>
        </w:rPr>
        <w:t>17</w:t>
      </w:r>
      <w:r>
        <w:rPr>
          <w:rFonts w:hint="eastAsia" w:ascii="仿宋_GB2312" w:hAnsi="仿宋_GB2312" w:eastAsia="仿宋_GB2312" w:cs="仿宋_GB2312"/>
          <w:bCs/>
          <w:color w:val="auto"/>
          <w:sz w:val="32"/>
          <w:szCs w:val="32"/>
        </w:rPr>
        <w:t>个，其中已完成三级指标</w:t>
      </w:r>
      <w:r>
        <w:rPr>
          <w:rFonts w:hint="eastAsia" w:ascii="仿宋_GB2312" w:hAnsi="仿宋_GB2312" w:eastAsia="仿宋_GB2312" w:cs="仿宋_GB2312"/>
          <w:bCs/>
          <w:color w:val="auto"/>
          <w:sz w:val="32"/>
          <w:szCs w:val="32"/>
          <w:lang w:val="en-US" w:eastAsia="zh-CN"/>
        </w:rPr>
        <w:t>17</w:t>
      </w:r>
      <w:r>
        <w:rPr>
          <w:rFonts w:hint="eastAsia" w:ascii="仿宋_GB2312" w:hAnsi="仿宋_GB2312" w:eastAsia="仿宋_GB2312" w:cs="仿宋_GB2312"/>
          <w:bCs/>
          <w:color w:val="auto"/>
          <w:sz w:val="32"/>
          <w:szCs w:val="32"/>
        </w:rPr>
        <w:t>个，指标完成率为100%。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1.产出指标完成情况分析</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数量</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新建或改善脱贫村饮水设施数量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≥1个</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1个。</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新建管网7150米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≥7150米</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7150米</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新建防护设施400米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≥400米</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400米</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新建厕所3座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3座</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3座</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新建供水设施1套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≥1套</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1套</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新建路沿石638米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=638米</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638米</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新装电锅炉2台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≥2台</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2台</w:t>
      </w:r>
      <w:r>
        <w:rPr>
          <w:rFonts w:hint="eastAsia" w:ascii="仿宋_GB2312" w:hAnsi="仿宋_GB2312" w:eastAsia="仿宋_GB2312" w:cs="仿宋_GB2312"/>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质量</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时效</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项目开工时间：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=2022年4月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2022年6月</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项目完工时间：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=2022年4月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2022年6月</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成本</w:t>
      </w:r>
      <w:r>
        <w:rPr>
          <w:rFonts w:hint="eastAsia" w:ascii="仿宋_GB2312" w:hAnsi="仿宋_GB2312" w:eastAsia="仿宋_GB2312" w:cs="仿宋_GB2312"/>
          <w:b/>
          <w:bCs/>
          <w:color w:val="auto"/>
          <w:sz w:val="32"/>
          <w:szCs w:val="32"/>
          <w:lang w:val="en-US" w:eastAsia="zh-CN"/>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建筑工程成本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≤45万元</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41.4万元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rPr>
        <w:t>给排水及附属设施成本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≤62万元</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57.49万元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outlineLvl w:val="1"/>
        <w:rPr>
          <w:rFonts w:hint="eastAsia" w:ascii="仿宋_GB2312" w:hAnsi="仿宋_GB2312" w:eastAsia="仿宋_GB2312" w:cs="仿宋_GB2312"/>
          <w:b/>
          <w:bCs/>
          <w:color w:val="auto"/>
          <w:sz w:val="32"/>
          <w:szCs w:val="32"/>
          <w:lang w:val="en-US" w:eastAsia="zh-CN"/>
        </w:rPr>
      </w:pPr>
      <w:bookmarkStart w:id="0" w:name="_Toc31697"/>
      <w:bookmarkStart w:id="1" w:name="_Toc67911615"/>
      <w:r>
        <w:rPr>
          <w:rFonts w:hint="eastAsia" w:ascii="仿宋_GB2312" w:hAnsi="仿宋_GB2312" w:eastAsia="仿宋_GB2312" w:cs="仿宋_GB2312"/>
          <w:b/>
          <w:bCs/>
          <w:color w:val="auto"/>
          <w:sz w:val="32"/>
          <w:szCs w:val="32"/>
        </w:rPr>
        <w:t>（四）项目效益情况</w:t>
      </w:r>
      <w:bookmarkEnd w:id="0"/>
      <w:bookmarkEnd w:id="1"/>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社会效益指标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解决脱贫人口饮水安全问题人数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≥215人</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215人</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 xml:space="preserve">  受益脱贫人口数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≥215人</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215人</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可持续影响指标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工程设计使用年限</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，实际完成值：达成年度指标。</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生态效益指标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改善生活生产环境率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满意度</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服务对象满意度指标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受益户满意度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四</w:t>
      </w:r>
      <w:r>
        <w:rPr>
          <w:rFonts w:hint="eastAsia" w:ascii="仿宋_GB2312" w:hAnsi="仿宋_GB2312" w:eastAsia="仿宋_GB2312" w:cs="仿宋_GB2312"/>
          <w:b/>
          <w:color w:val="auto"/>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（一）偏离绩效目标的原因</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资金预算执行存在偏差：</w:t>
      </w:r>
      <w:r>
        <w:rPr>
          <w:rFonts w:hint="eastAsia" w:ascii="仿宋_GB2312" w:hAnsi="仿宋_GB2312" w:eastAsia="仿宋_GB2312" w:cs="仿宋_GB2312"/>
          <w:color w:val="auto"/>
          <w:sz w:val="32"/>
          <w:szCs w:val="32"/>
        </w:rPr>
        <w:t>全年预算数</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highlight w:val="none"/>
          <w:lang w:val="en-US" w:eastAsia="zh-CN"/>
        </w:rPr>
        <w:t>98.89</w:t>
      </w:r>
      <w:r>
        <w:rPr>
          <w:rFonts w:hint="eastAsia" w:ascii="仿宋_GB2312" w:hAnsi="仿宋_GB2312" w:eastAsia="仿宋_GB2312" w:cs="仿宋_GB2312"/>
          <w:color w:val="auto"/>
          <w:sz w:val="32"/>
          <w:szCs w:val="32"/>
          <w:highlight w:val="none"/>
        </w:rPr>
        <w:t>万元，执行率为</w:t>
      </w:r>
      <w:r>
        <w:rPr>
          <w:rFonts w:hint="eastAsia" w:ascii="仿宋_GB2312" w:hAnsi="仿宋_GB2312" w:eastAsia="仿宋_GB2312" w:cs="仿宋_GB2312"/>
          <w:color w:val="auto"/>
          <w:sz w:val="32"/>
          <w:szCs w:val="32"/>
          <w:highlight w:val="none"/>
          <w:lang w:val="en-US" w:eastAsia="zh-CN"/>
        </w:rPr>
        <w:t>92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二者之间的偏差值为</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造成8%的偏差的原因一是通过委托第三方中介机构对项目工程结算进行审计后成本有所降低；二是项目按照合同约定预留3%质保金，质保期未到目前尚未支付，待到期后支付3%质保金</w:t>
      </w:r>
      <w:r>
        <w:rPr>
          <w:rFonts w:hint="eastAsia" w:ascii="仿宋_GB2312" w:hAnsi="仿宋_GB2312" w:eastAsia="仿宋_GB2312" w:cs="仿宋_GB2312"/>
          <w:color w:val="auto"/>
          <w:sz w:val="32"/>
          <w:szCs w:val="32"/>
          <w:highlight w:val="none"/>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本项目按照预期内完成项目建设及资金</w:t>
      </w:r>
      <w:r>
        <w:rPr>
          <w:rFonts w:hint="eastAsia" w:ascii="仿宋_GB2312" w:hAnsi="仿宋_GB2312" w:eastAsia="仿宋_GB2312" w:cs="仿宋_GB2312"/>
          <w:color w:val="auto"/>
          <w:sz w:val="32"/>
          <w:szCs w:val="32"/>
          <w:lang w:val="en-US" w:eastAsia="zh-CN"/>
        </w:rPr>
        <w:t>拨付</w:t>
      </w:r>
      <w:r>
        <w:rPr>
          <w:rFonts w:hint="eastAsia" w:ascii="仿宋_GB2312" w:hAnsi="仿宋_GB2312" w:eastAsia="仿宋_GB2312" w:cs="仿宋_GB2312"/>
          <w:color w:val="auto"/>
          <w:sz w:val="32"/>
          <w:szCs w:val="32"/>
        </w:rPr>
        <w:t>，已经保障了</w:t>
      </w:r>
      <w:r>
        <w:rPr>
          <w:rFonts w:hint="eastAsia" w:ascii="仿宋_GB2312" w:hAnsi="仿宋_GB2312" w:eastAsia="仿宋_GB2312" w:cs="仿宋_GB2312"/>
          <w:color w:val="auto"/>
          <w:sz w:val="32"/>
          <w:szCs w:val="32"/>
          <w:lang w:eastAsia="zh-CN"/>
        </w:rPr>
        <w:t>脱贫</w:t>
      </w:r>
      <w:r>
        <w:rPr>
          <w:rFonts w:hint="eastAsia" w:ascii="仿宋_GB2312" w:hAnsi="仿宋_GB2312" w:eastAsia="仿宋_GB2312" w:cs="仿宋_GB2312"/>
          <w:color w:val="auto"/>
          <w:sz w:val="32"/>
          <w:szCs w:val="32"/>
        </w:rPr>
        <w:t>户的生产和生活条件，为建设新农村创造有利的条件，由此带来可观的社会效益与经济效益。实现</w:t>
      </w:r>
      <w:r>
        <w:rPr>
          <w:rFonts w:hint="eastAsia" w:ascii="仿宋_GB2312" w:hAnsi="仿宋_GB2312" w:eastAsia="仿宋_GB2312" w:cs="仿宋_GB2312"/>
          <w:color w:val="auto"/>
          <w:sz w:val="32"/>
          <w:szCs w:val="32"/>
          <w:lang w:eastAsia="zh-CN"/>
        </w:rPr>
        <w:t>乡村振兴</w:t>
      </w:r>
      <w:r>
        <w:rPr>
          <w:rFonts w:hint="eastAsia" w:ascii="仿宋_GB2312" w:hAnsi="仿宋_GB2312" w:eastAsia="仿宋_GB2312" w:cs="仿宋_GB2312"/>
          <w:color w:val="auto"/>
          <w:sz w:val="32"/>
          <w:szCs w:val="32"/>
          <w:lang w:val="en-US" w:eastAsia="zh-CN"/>
        </w:rPr>
        <w:t>发展</w:t>
      </w:r>
      <w:r>
        <w:rPr>
          <w:rFonts w:hint="eastAsia" w:ascii="仿宋_GB2312" w:hAnsi="仿宋_GB2312" w:eastAsia="仿宋_GB2312" w:cs="仿宋_GB2312"/>
          <w:color w:val="auto"/>
          <w:sz w:val="32"/>
          <w:szCs w:val="32"/>
        </w:rPr>
        <w:t xml:space="preserve">目标。在今后的项目当中对设计目标要提高设计标准，优化、细化方案，对各项指标和指标值的设定要进一步优化、完善。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今后对项目进行跟踪管理，做好抽查巡查机制，以便使补助资金的发放发挥更大的效益。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Cs/>
          <w:color w:val="auto"/>
          <w:sz w:val="32"/>
          <w:szCs w:val="32"/>
        </w:rPr>
        <w:t>经综合评价，本项目实施达成预期指标，资金使用、管理、保障到位，严格执行</w:t>
      </w:r>
      <w:r>
        <w:rPr>
          <w:rFonts w:hint="eastAsia" w:ascii="仿宋_GB2312" w:hAnsi="仿宋_GB2312" w:eastAsia="仿宋_GB2312" w:cs="仿宋_GB2312"/>
          <w:bCs/>
          <w:color w:val="auto"/>
          <w:sz w:val="32"/>
          <w:szCs w:val="32"/>
        </w:rPr>
        <w:t>《中央财政衔接推进乡村振兴补助资金管理办法》</w:t>
      </w:r>
      <w:r>
        <w:rPr>
          <w:rFonts w:hint="eastAsia" w:ascii="仿宋_GB2312" w:hAnsi="仿宋_GB2312" w:eastAsia="仿宋_GB2312" w:cs="仿宋_GB2312"/>
          <w:iCs/>
          <w:color w:val="auto"/>
          <w:sz w:val="32"/>
          <w:szCs w:val="32"/>
        </w:rPr>
        <w:t>，按照实施方案执行项目管理，</w:t>
      </w:r>
      <w:r>
        <w:rPr>
          <w:rFonts w:hint="eastAsia" w:ascii="仿宋_GB2312" w:hAnsi="仿宋_GB2312" w:eastAsia="仿宋_GB2312" w:cs="仿宋_GB2312"/>
          <w:color w:val="auto"/>
          <w:sz w:val="32"/>
          <w:szCs w:val="32"/>
        </w:rPr>
        <w:t>保障了</w:t>
      </w:r>
      <w:r>
        <w:rPr>
          <w:rFonts w:hint="eastAsia" w:ascii="仿宋_GB2312" w:hAnsi="仿宋_GB2312" w:eastAsia="仿宋_GB2312" w:cs="仿宋_GB2312"/>
          <w:color w:val="auto"/>
          <w:sz w:val="32"/>
          <w:szCs w:val="32"/>
          <w:lang w:eastAsia="zh-CN"/>
        </w:rPr>
        <w:t>脱贫</w:t>
      </w:r>
      <w:r>
        <w:rPr>
          <w:rFonts w:hint="eastAsia" w:ascii="仿宋_GB2312" w:hAnsi="仿宋_GB2312" w:eastAsia="仿宋_GB2312" w:cs="仿宋_GB2312"/>
          <w:color w:val="auto"/>
          <w:sz w:val="32"/>
          <w:szCs w:val="32"/>
        </w:rPr>
        <w:t>户的生产和生活条件，为建设新农村创造有利的条件，由此带来可观的社会效益与经济效益。</w:t>
      </w:r>
      <w:r>
        <w:rPr>
          <w:rFonts w:hint="eastAsia" w:ascii="仿宋_GB2312" w:hAnsi="仿宋_GB2312" w:eastAsia="仿宋_GB2312" w:cs="仿宋_GB2312"/>
          <w:iCs/>
          <w:color w:val="auto"/>
          <w:sz w:val="32"/>
          <w:szCs w:val="32"/>
        </w:rPr>
        <w:t>助力了</w:t>
      </w:r>
      <w:r>
        <w:rPr>
          <w:rFonts w:hint="eastAsia" w:ascii="仿宋_GB2312" w:hAnsi="仿宋_GB2312" w:eastAsia="仿宋_GB2312" w:cs="仿宋_GB2312"/>
          <w:iCs/>
          <w:color w:val="auto"/>
          <w:sz w:val="32"/>
          <w:szCs w:val="32"/>
          <w:lang w:eastAsia="zh-CN"/>
        </w:rPr>
        <w:t>乡村振兴</w:t>
      </w:r>
      <w:r>
        <w:rPr>
          <w:rFonts w:hint="eastAsia"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iCs/>
          <w:color w:val="auto"/>
          <w:sz w:val="32"/>
          <w:szCs w:val="32"/>
        </w:rPr>
      </w:pPr>
      <w:r>
        <w:rPr>
          <w:rFonts w:hint="eastAsia" w:ascii="仿宋_GB2312" w:hAnsi="仿宋_GB2312" w:eastAsia="仿宋_GB2312" w:cs="仿宋_GB2312"/>
          <w:iCs/>
          <w:color w:val="auto"/>
          <w:sz w:val="32"/>
          <w:szCs w:val="32"/>
        </w:rPr>
        <w:t>本项目</w:t>
      </w:r>
      <w:r>
        <w:rPr>
          <w:rFonts w:hint="eastAsia" w:ascii="仿宋_GB2312" w:hAnsi="仿宋_GB2312" w:eastAsia="仿宋_GB2312" w:cs="仿宋_GB2312"/>
          <w:iCs/>
          <w:color w:val="auto"/>
          <w:sz w:val="32"/>
          <w:szCs w:val="32"/>
          <w:highlight w:val="none"/>
        </w:rPr>
        <w:t>，综合自评得分为</w:t>
      </w:r>
      <w:r>
        <w:rPr>
          <w:rFonts w:hint="eastAsia" w:ascii="仿宋_GB2312" w:hAnsi="仿宋_GB2312" w:eastAsia="仿宋_GB2312" w:cs="仿宋_GB2312"/>
          <w:iCs/>
          <w:color w:val="auto"/>
          <w:sz w:val="32"/>
          <w:szCs w:val="32"/>
          <w:highlight w:val="none"/>
          <w:lang w:val="en-US" w:eastAsia="zh-CN"/>
        </w:rPr>
        <w:t>99.2</w:t>
      </w:r>
      <w:r>
        <w:rPr>
          <w:rFonts w:hint="eastAsia" w:ascii="仿宋_GB2312" w:hAnsi="仿宋_GB2312" w:eastAsia="仿宋_GB2312" w:cs="仿宋_GB2312"/>
          <w:iCs/>
          <w:color w:val="auto"/>
          <w:sz w:val="32"/>
          <w:szCs w:val="32"/>
          <w:highlight w:val="none"/>
        </w:rPr>
        <w:t>分。</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color w:val="auto"/>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37F94"/>
    <w:multiLevelType w:val="singleLevel"/>
    <w:tmpl w:val="77D37F9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ZTFjZGJiOTNjNzQ3NGIwYWU5MGVlODMwMjY1NWYifQ=="/>
  </w:docVars>
  <w:rsids>
    <w:rsidRoot w:val="00477BED"/>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356534"/>
    <w:rsid w:val="05DB45BB"/>
    <w:rsid w:val="062866AB"/>
    <w:rsid w:val="068A151F"/>
    <w:rsid w:val="06FF227F"/>
    <w:rsid w:val="0775008D"/>
    <w:rsid w:val="07DD21AF"/>
    <w:rsid w:val="0811193C"/>
    <w:rsid w:val="085F5D7F"/>
    <w:rsid w:val="08A8436F"/>
    <w:rsid w:val="08C933D8"/>
    <w:rsid w:val="09167E2A"/>
    <w:rsid w:val="093259F3"/>
    <w:rsid w:val="098052C5"/>
    <w:rsid w:val="09913E17"/>
    <w:rsid w:val="0A375730"/>
    <w:rsid w:val="0A6A0C0B"/>
    <w:rsid w:val="0A7259D8"/>
    <w:rsid w:val="0B530AC9"/>
    <w:rsid w:val="0B804FD7"/>
    <w:rsid w:val="0C293915"/>
    <w:rsid w:val="0DFC6EB6"/>
    <w:rsid w:val="0E0D5ECE"/>
    <w:rsid w:val="0F40581B"/>
    <w:rsid w:val="10345B46"/>
    <w:rsid w:val="10C671FB"/>
    <w:rsid w:val="10E93E90"/>
    <w:rsid w:val="11826F8A"/>
    <w:rsid w:val="126F7391"/>
    <w:rsid w:val="12900B58"/>
    <w:rsid w:val="130D64A2"/>
    <w:rsid w:val="147C1B29"/>
    <w:rsid w:val="149B7734"/>
    <w:rsid w:val="163B6372"/>
    <w:rsid w:val="16AC4E5E"/>
    <w:rsid w:val="16DE521B"/>
    <w:rsid w:val="180343EB"/>
    <w:rsid w:val="1870263E"/>
    <w:rsid w:val="18835A91"/>
    <w:rsid w:val="1F203647"/>
    <w:rsid w:val="1F792AD6"/>
    <w:rsid w:val="20CC311F"/>
    <w:rsid w:val="20F7385C"/>
    <w:rsid w:val="21A31C30"/>
    <w:rsid w:val="231A3433"/>
    <w:rsid w:val="234174BA"/>
    <w:rsid w:val="245A462F"/>
    <w:rsid w:val="247C0DC3"/>
    <w:rsid w:val="24CC7E8F"/>
    <w:rsid w:val="25E237FF"/>
    <w:rsid w:val="25FA62CC"/>
    <w:rsid w:val="26D75013"/>
    <w:rsid w:val="2766466B"/>
    <w:rsid w:val="27851253"/>
    <w:rsid w:val="27FC1492"/>
    <w:rsid w:val="28C234B9"/>
    <w:rsid w:val="29074326"/>
    <w:rsid w:val="29A44584"/>
    <w:rsid w:val="2A0A292C"/>
    <w:rsid w:val="2A2C02EA"/>
    <w:rsid w:val="2AF6579E"/>
    <w:rsid w:val="2B424747"/>
    <w:rsid w:val="2C2A56DC"/>
    <w:rsid w:val="2D992BED"/>
    <w:rsid w:val="2FFA732F"/>
    <w:rsid w:val="30FD5D6F"/>
    <w:rsid w:val="31FA0963"/>
    <w:rsid w:val="32611749"/>
    <w:rsid w:val="32FC739D"/>
    <w:rsid w:val="33583452"/>
    <w:rsid w:val="3373180F"/>
    <w:rsid w:val="34E7513E"/>
    <w:rsid w:val="35623DE4"/>
    <w:rsid w:val="35723D4D"/>
    <w:rsid w:val="35B45C86"/>
    <w:rsid w:val="360B3381"/>
    <w:rsid w:val="3679623C"/>
    <w:rsid w:val="36FC0C18"/>
    <w:rsid w:val="374544A5"/>
    <w:rsid w:val="3765282F"/>
    <w:rsid w:val="37966E9D"/>
    <w:rsid w:val="38B811F7"/>
    <w:rsid w:val="39B95BC6"/>
    <w:rsid w:val="3A644887"/>
    <w:rsid w:val="3D077A9F"/>
    <w:rsid w:val="3D185B36"/>
    <w:rsid w:val="40284A51"/>
    <w:rsid w:val="411671AB"/>
    <w:rsid w:val="41615490"/>
    <w:rsid w:val="41B3224E"/>
    <w:rsid w:val="42635443"/>
    <w:rsid w:val="42881B73"/>
    <w:rsid w:val="42C41CE4"/>
    <w:rsid w:val="42EC6A00"/>
    <w:rsid w:val="43964C28"/>
    <w:rsid w:val="43D752E4"/>
    <w:rsid w:val="44123161"/>
    <w:rsid w:val="46736836"/>
    <w:rsid w:val="468A2440"/>
    <w:rsid w:val="46A462C3"/>
    <w:rsid w:val="48A10D2F"/>
    <w:rsid w:val="48CE131F"/>
    <w:rsid w:val="4B652BCD"/>
    <w:rsid w:val="4BF34932"/>
    <w:rsid w:val="4CB95C40"/>
    <w:rsid w:val="4CE332BC"/>
    <w:rsid w:val="4D8F554E"/>
    <w:rsid w:val="4DBC1081"/>
    <w:rsid w:val="4F0423DC"/>
    <w:rsid w:val="4F41037F"/>
    <w:rsid w:val="4FBC5B56"/>
    <w:rsid w:val="4FBF090F"/>
    <w:rsid w:val="51FA2793"/>
    <w:rsid w:val="529C3F04"/>
    <w:rsid w:val="5447697D"/>
    <w:rsid w:val="546D5D37"/>
    <w:rsid w:val="54F92511"/>
    <w:rsid w:val="550106AB"/>
    <w:rsid w:val="55F34070"/>
    <w:rsid w:val="59385552"/>
    <w:rsid w:val="5A5844D1"/>
    <w:rsid w:val="5B127569"/>
    <w:rsid w:val="5B8337A3"/>
    <w:rsid w:val="5B9655EE"/>
    <w:rsid w:val="5CA066E2"/>
    <w:rsid w:val="5D7D568B"/>
    <w:rsid w:val="5DA35E7E"/>
    <w:rsid w:val="5E517D5D"/>
    <w:rsid w:val="5EE8247D"/>
    <w:rsid w:val="5F0A38BC"/>
    <w:rsid w:val="5F860125"/>
    <w:rsid w:val="60565B67"/>
    <w:rsid w:val="60B66CB8"/>
    <w:rsid w:val="61F17DCD"/>
    <w:rsid w:val="64A743F3"/>
    <w:rsid w:val="651B358E"/>
    <w:rsid w:val="651F3ADB"/>
    <w:rsid w:val="65246B24"/>
    <w:rsid w:val="663D1E8A"/>
    <w:rsid w:val="66E519D9"/>
    <w:rsid w:val="67421AB3"/>
    <w:rsid w:val="674F2C34"/>
    <w:rsid w:val="67921C85"/>
    <w:rsid w:val="67A105D0"/>
    <w:rsid w:val="67D24A1D"/>
    <w:rsid w:val="67E53C8C"/>
    <w:rsid w:val="68A439CF"/>
    <w:rsid w:val="68B32F0E"/>
    <w:rsid w:val="6A282B5D"/>
    <w:rsid w:val="6A893829"/>
    <w:rsid w:val="6BBF57BF"/>
    <w:rsid w:val="6BDD0871"/>
    <w:rsid w:val="6DFD7E2A"/>
    <w:rsid w:val="6E1D4216"/>
    <w:rsid w:val="6EE2762C"/>
    <w:rsid w:val="6F563FF7"/>
    <w:rsid w:val="6FB23D6F"/>
    <w:rsid w:val="6FC17085"/>
    <w:rsid w:val="6FDB2D58"/>
    <w:rsid w:val="7116043B"/>
    <w:rsid w:val="72FF6776"/>
    <w:rsid w:val="76DB2C18"/>
    <w:rsid w:val="77012BAA"/>
    <w:rsid w:val="77147E3D"/>
    <w:rsid w:val="77240AD1"/>
    <w:rsid w:val="77B50195"/>
    <w:rsid w:val="77FB44DB"/>
    <w:rsid w:val="784F295E"/>
    <w:rsid w:val="79582BCA"/>
    <w:rsid w:val="79AE5E4E"/>
    <w:rsid w:val="7A616B9A"/>
    <w:rsid w:val="7B89572E"/>
    <w:rsid w:val="7C1D3757"/>
    <w:rsid w:val="7CB05B65"/>
    <w:rsid w:val="7CE97A31"/>
    <w:rsid w:val="7E0C7AC0"/>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unhideWhenUsed/>
    <w:qFormat/>
    <w:uiPriority w:val="99"/>
    <w:pPr>
      <w:snapToGrid w:val="0"/>
      <w:jc w:val="left"/>
    </w:pPr>
    <w:rPr>
      <w:rFonts w:ascii="Calibri" w:hAnsi="Calibri" w:eastAsia="宋体" w:cs="Times New Roman"/>
      <w:sz w:val="18"/>
      <w:szCs w:val="18"/>
    </w:rPr>
  </w:style>
  <w:style w:type="paragraph" w:styleId="8">
    <w:name w:val="Body Text First Indent"/>
    <w:basedOn w:val="2"/>
    <w:qFormat/>
    <w:uiPriority w:val="0"/>
    <w:pPr>
      <w:spacing w:after="0"/>
      <w:ind w:firstLine="420" w:firstLineChars="100"/>
    </w:pPr>
    <w:rPr>
      <w:rFonts w:ascii="宋体" w:hAnsi="宋体" w:cs="宋体"/>
      <w:sz w:val="21"/>
      <w:lang w:val="zh-CN" w:bidi="zh-CN"/>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7"/>
    <w:qFormat/>
    <w:uiPriority w:val="99"/>
    <w:rPr>
      <w:rFonts w:ascii="Calibri" w:hAnsi="Calibri" w:eastAsia="宋体" w:cs="Times New Roman"/>
      <w:sz w:val="18"/>
      <w:szCs w:val="18"/>
    </w:rPr>
  </w:style>
  <w:style w:type="character" w:customStyle="1" w:styleId="14">
    <w:name w:val="批注框文本 Char"/>
    <w:basedOn w:val="10"/>
    <w:link w:val="4"/>
    <w:semiHidden/>
    <w:qFormat/>
    <w:uiPriority w:val="99"/>
    <w:rPr>
      <w:kern w:val="2"/>
      <w:sz w:val="18"/>
      <w:szCs w:val="18"/>
    </w:rPr>
  </w:style>
  <w:style w:type="character" w:customStyle="1" w:styleId="15">
    <w:name w:val="页眉 Char"/>
    <w:basedOn w:val="10"/>
    <w:link w:val="6"/>
    <w:qFormat/>
    <w:uiPriority w:val="99"/>
    <w:rPr>
      <w:rFonts w:ascii="Calibri" w:hAnsi="Calibri" w:eastAsia="宋体" w:cs="黑体"/>
      <w:kern w:val="2"/>
      <w:sz w:val="18"/>
      <w:szCs w:val="18"/>
    </w:rPr>
  </w:style>
  <w:style w:type="character" w:customStyle="1" w:styleId="16">
    <w:name w:val="页脚 Char"/>
    <w:basedOn w:val="10"/>
    <w:link w:val="5"/>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10</Pages>
  <Words>3535</Words>
  <Characters>3915</Characters>
  <Lines>23</Lines>
  <Paragraphs>6</Paragraphs>
  <TotalTime>3</TotalTime>
  <ScaleCrop>false</ScaleCrop>
  <LinksUpToDate>false</LinksUpToDate>
  <CharactersWithSpaces>3926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2023-02-10T11:01:55Z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32D9388DB1704C8E8FC88A2DA273CE5C</vt:lpwstr>
  </property>
</Properties>
</file>