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kinsoku/>
        <w:wordWrap/>
        <w:overflowPunct/>
        <w:topLinePunct w:val="0"/>
        <w:autoSpaceDE/>
        <w:autoSpaceDN/>
        <w:bidi w:val="0"/>
        <w:adjustRightInd/>
        <w:spacing w:line="600" w:lineRule="exact"/>
        <w:jc w:val="both"/>
        <w:rPr>
          <w:b/>
          <w:sz w:val="44"/>
          <w:szCs w:val="44"/>
        </w:rPr>
      </w:pPr>
      <w:bookmarkStart w:id="0" w:name="_GoBack"/>
      <w:bookmarkEnd w:id="0"/>
    </w:p>
    <w:p>
      <w:pPr>
        <w:pStyle w:val="7"/>
        <w:keepNext w:val="0"/>
        <w:keepLines w:val="0"/>
        <w:pageBreakBefore w:val="0"/>
        <w:kinsoku/>
        <w:wordWrap/>
        <w:overflowPunct/>
        <w:topLinePunct w:val="0"/>
        <w:autoSpaceDE/>
        <w:autoSpaceDN/>
        <w:bidi w:val="0"/>
        <w:adjustRightInd/>
        <w:spacing w:line="600" w:lineRule="exact"/>
        <w:jc w:val="center"/>
        <w:rPr>
          <w:b/>
          <w:sz w:val="44"/>
          <w:szCs w:val="44"/>
        </w:rPr>
      </w:pPr>
    </w:p>
    <w:p>
      <w:pPr>
        <w:pStyle w:val="7"/>
        <w:keepNext w:val="0"/>
        <w:keepLines w:val="0"/>
        <w:pageBreakBefore w:val="0"/>
        <w:kinsoku/>
        <w:wordWrap/>
        <w:overflowPunct/>
        <w:topLinePunct w:val="0"/>
        <w:autoSpaceDE/>
        <w:autoSpaceDN/>
        <w:bidi w:val="0"/>
        <w:adjustRightInd/>
        <w:spacing w:line="600" w:lineRule="exact"/>
        <w:jc w:val="center"/>
        <w:rPr>
          <w:rFonts w:hint="eastAsia"/>
          <w:b/>
          <w:sz w:val="44"/>
          <w:szCs w:val="44"/>
        </w:rPr>
      </w:pPr>
      <w:r>
        <w:rPr>
          <w:rFonts w:hint="eastAsia"/>
          <w:b/>
          <w:sz w:val="44"/>
          <w:szCs w:val="44"/>
        </w:rPr>
        <w:t>额敏县霍吉尔特蒙古民族乡2022年财政衔接推进乡村振兴补助资金绩效</w:t>
      </w:r>
    </w:p>
    <w:p>
      <w:pPr>
        <w:pStyle w:val="7"/>
        <w:keepNext w:val="0"/>
        <w:keepLines w:val="0"/>
        <w:pageBreakBefore w:val="0"/>
        <w:kinsoku/>
        <w:wordWrap/>
        <w:overflowPunct/>
        <w:topLinePunct w:val="0"/>
        <w:autoSpaceDE/>
        <w:autoSpaceDN/>
        <w:bidi w:val="0"/>
        <w:adjustRightInd/>
        <w:spacing w:line="600" w:lineRule="exact"/>
        <w:jc w:val="center"/>
        <w:rPr>
          <w:b/>
          <w:sz w:val="44"/>
          <w:szCs w:val="44"/>
        </w:rPr>
      </w:pPr>
      <w:r>
        <w:rPr>
          <w:rFonts w:hint="eastAsia"/>
          <w:b/>
          <w:sz w:val="44"/>
          <w:szCs w:val="44"/>
        </w:rPr>
        <w:t>自评总结报告</w:t>
      </w:r>
    </w:p>
    <w:p>
      <w:pPr>
        <w:pStyle w:val="7"/>
        <w:keepNext w:val="0"/>
        <w:keepLines w:val="0"/>
        <w:pageBreakBefore w:val="0"/>
        <w:kinsoku/>
        <w:wordWrap/>
        <w:overflowPunct/>
        <w:topLinePunct w:val="0"/>
        <w:autoSpaceDE/>
        <w:autoSpaceDN/>
        <w:bidi w:val="0"/>
        <w:adjustRightInd/>
        <w:spacing w:line="600" w:lineRule="exact"/>
        <w:jc w:val="center"/>
        <w:rPr>
          <w:b/>
          <w:sz w:val="44"/>
          <w:szCs w:val="44"/>
        </w:rPr>
      </w:pPr>
    </w:p>
    <w:p>
      <w:pPr>
        <w:pStyle w:val="7"/>
        <w:keepNext w:val="0"/>
        <w:keepLines w:val="0"/>
        <w:pageBreakBefore w:val="0"/>
        <w:kinsoku/>
        <w:wordWrap/>
        <w:overflowPunct/>
        <w:topLinePunct w:val="0"/>
        <w:autoSpaceDE/>
        <w:autoSpaceDN/>
        <w:bidi w:val="0"/>
        <w:adjustRightInd/>
        <w:spacing w:line="600" w:lineRule="exact"/>
        <w:jc w:val="center"/>
        <w:rPr>
          <w:sz w:val="44"/>
          <w:szCs w:val="44"/>
        </w:rPr>
      </w:pPr>
      <w:r>
        <w:rPr>
          <w:rFonts w:hint="eastAsia"/>
          <w:sz w:val="44"/>
          <w:szCs w:val="44"/>
        </w:rPr>
        <w:t>（</w:t>
      </w:r>
      <w:r>
        <w:rPr>
          <w:sz w:val="44"/>
          <w:szCs w:val="44"/>
        </w:rPr>
        <w:t>20</w:t>
      </w:r>
      <w:r>
        <w:rPr>
          <w:rFonts w:hint="eastAsia"/>
          <w:sz w:val="44"/>
          <w:szCs w:val="44"/>
        </w:rPr>
        <w:t>22年度）</w:t>
      </w:r>
    </w:p>
    <w:p>
      <w:pPr>
        <w:pStyle w:val="7"/>
        <w:keepNext w:val="0"/>
        <w:keepLines w:val="0"/>
        <w:pageBreakBefore w:val="0"/>
        <w:kinsoku/>
        <w:wordWrap/>
        <w:overflowPunct/>
        <w:topLinePunct w:val="0"/>
        <w:autoSpaceDE/>
        <w:autoSpaceDN/>
        <w:bidi w:val="0"/>
        <w:adjustRightInd/>
        <w:spacing w:line="600" w:lineRule="exact"/>
        <w:rPr>
          <w:sz w:val="44"/>
          <w:szCs w:val="44"/>
        </w:rPr>
      </w:pPr>
    </w:p>
    <w:p>
      <w:pPr>
        <w:pStyle w:val="7"/>
        <w:keepNext w:val="0"/>
        <w:keepLines w:val="0"/>
        <w:pageBreakBefore w:val="0"/>
        <w:kinsoku/>
        <w:wordWrap/>
        <w:overflowPunct/>
        <w:topLinePunct w:val="0"/>
        <w:autoSpaceDE/>
        <w:autoSpaceDN/>
        <w:bidi w:val="0"/>
        <w:adjustRightInd/>
        <w:spacing w:line="600" w:lineRule="exact"/>
        <w:rPr>
          <w:sz w:val="44"/>
          <w:szCs w:val="44"/>
        </w:rPr>
      </w:pPr>
    </w:p>
    <w:p>
      <w:pPr>
        <w:pStyle w:val="7"/>
        <w:keepNext w:val="0"/>
        <w:keepLines w:val="0"/>
        <w:pageBreakBefore w:val="0"/>
        <w:kinsoku/>
        <w:wordWrap/>
        <w:overflowPunct/>
        <w:topLinePunct w:val="0"/>
        <w:autoSpaceDE/>
        <w:autoSpaceDN/>
        <w:bidi w:val="0"/>
        <w:adjustRightInd/>
        <w:spacing w:line="600" w:lineRule="exact"/>
        <w:rPr>
          <w:sz w:val="44"/>
          <w:szCs w:val="44"/>
        </w:rPr>
      </w:pPr>
    </w:p>
    <w:p>
      <w:pPr>
        <w:pStyle w:val="7"/>
        <w:keepNext w:val="0"/>
        <w:keepLines w:val="0"/>
        <w:pageBreakBefore w:val="0"/>
        <w:kinsoku/>
        <w:wordWrap/>
        <w:overflowPunct/>
        <w:topLinePunct w:val="0"/>
        <w:autoSpaceDE/>
        <w:autoSpaceDN/>
        <w:bidi w:val="0"/>
        <w:adjustRightInd/>
        <w:spacing w:line="600" w:lineRule="exact"/>
        <w:rPr>
          <w:sz w:val="44"/>
          <w:szCs w:val="44"/>
        </w:rPr>
      </w:pPr>
    </w:p>
    <w:p>
      <w:pPr>
        <w:pStyle w:val="7"/>
        <w:keepNext w:val="0"/>
        <w:keepLines w:val="0"/>
        <w:pageBreakBefore w:val="0"/>
        <w:kinsoku/>
        <w:wordWrap/>
        <w:overflowPunct/>
        <w:topLinePunct w:val="0"/>
        <w:autoSpaceDE/>
        <w:autoSpaceDN/>
        <w:bidi w:val="0"/>
        <w:adjustRightInd/>
        <w:spacing w:line="600" w:lineRule="exact"/>
        <w:rPr>
          <w:sz w:val="36"/>
          <w:szCs w:val="36"/>
        </w:rPr>
      </w:pPr>
    </w:p>
    <w:p>
      <w:pPr>
        <w:pStyle w:val="7"/>
        <w:keepNext w:val="0"/>
        <w:keepLines w:val="0"/>
        <w:pageBreakBefore w:val="0"/>
        <w:kinsoku/>
        <w:wordWrap/>
        <w:overflowPunct/>
        <w:topLinePunct w:val="0"/>
        <w:autoSpaceDE/>
        <w:autoSpaceDN/>
        <w:bidi w:val="0"/>
        <w:adjustRightInd/>
        <w:spacing w:line="600" w:lineRule="exact"/>
        <w:rPr>
          <w:sz w:val="36"/>
          <w:szCs w:val="36"/>
        </w:rPr>
      </w:pPr>
    </w:p>
    <w:p>
      <w:pPr>
        <w:pStyle w:val="7"/>
        <w:keepNext w:val="0"/>
        <w:keepLines w:val="0"/>
        <w:pageBreakBefore w:val="0"/>
        <w:kinsoku/>
        <w:wordWrap/>
        <w:overflowPunct/>
        <w:topLinePunct w:val="0"/>
        <w:autoSpaceDE/>
        <w:autoSpaceDN/>
        <w:bidi w:val="0"/>
        <w:adjustRightInd/>
        <w:spacing w:line="600" w:lineRule="exact"/>
        <w:rPr>
          <w:sz w:val="36"/>
          <w:szCs w:val="36"/>
        </w:rPr>
      </w:pPr>
    </w:p>
    <w:p>
      <w:pPr>
        <w:pStyle w:val="7"/>
        <w:keepNext w:val="0"/>
        <w:keepLines w:val="0"/>
        <w:pageBreakBefore w:val="0"/>
        <w:kinsoku/>
        <w:wordWrap/>
        <w:overflowPunct/>
        <w:topLinePunct w:val="0"/>
        <w:autoSpaceDE/>
        <w:autoSpaceDN/>
        <w:bidi w:val="0"/>
        <w:adjustRightInd/>
        <w:spacing w:line="600" w:lineRule="exact"/>
        <w:rPr>
          <w:sz w:val="36"/>
          <w:szCs w:val="36"/>
        </w:rPr>
      </w:pPr>
    </w:p>
    <w:p>
      <w:pPr>
        <w:pStyle w:val="7"/>
        <w:keepNext w:val="0"/>
        <w:keepLines w:val="0"/>
        <w:pageBreakBefore w:val="0"/>
        <w:kinsoku/>
        <w:wordWrap/>
        <w:overflowPunct/>
        <w:topLinePunct w:val="0"/>
        <w:autoSpaceDE/>
        <w:autoSpaceDN/>
        <w:bidi w:val="0"/>
        <w:adjustRightInd/>
        <w:spacing w:line="600" w:lineRule="exact"/>
        <w:rPr>
          <w:sz w:val="36"/>
          <w:szCs w:val="36"/>
        </w:rPr>
      </w:pPr>
    </w:p>
    <w:p>
      <w:pPr>
        <w:pStyle w:val="7"/>
        <w:keepNext w:val="0"/>
        <w:keepLines w:val="0"/>
        <w:pageBreakBefore w:val="0"/>
        <w:kinsoku/>
        <w:wordWrap/>
        <w:overflowPunct/>
        <w:topLinePunct w:val="0"/>
        <w:autoSpaceDE/>
        <w:autoSpaceDN/>
        <w:bidi w:val="0"/>
        <w:adjustRightInd/>
        <w:spacing w:line="600" w:lineRule="exact"/>
        <w:rPr>
          <w:sz w:val="36"/>
          <w:szCs w:val="36"/>
        </w:rPr>
      </w:pPr>
    </w:p>
    <w:p>
      <w:pPr>
        <w:keepNext w:val="0"/>
        <w:keepLines w:val="0"/>
        <w:pageBreakBefore w:val="0"/>
        <w:kinsoku/>
        <w:wordWrap/>
        <w:overflowPunct/>
        <w:topLinePunct w:val="0"/>
        <w:autoSpaceDE/>
        <w:autoSpaceDN/>
        <w:bidi w:val="0"/>
        <w:adjustRightInd/>
        <w:spacing w:line="600" w:lineRule="exact"/>
        <w:ind w:left="2345" w:leftChars="50" w:hanging="2240" w:hangingChars="700"/>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w:t>
      </w:r>
      <w:r>
        <w:rPr>
          <w:rFonts w:hint="eastAsia" w:ascii="仿宋_GB2312" w:hAnsi="Times New Roman" w:cs="Times New Roman"/>
          <w:kern w:val="0"/>
          <w:sz w:val="32"/>
          <w:szCs w:val="32"/>
          <w:lang w:val="en-US" w:eastAsia="zh-CN" w:bidi="en-US"/>
        </w:rPr>
        <w:t xml:space="preserve"> </w:t>
      </w:r>
      <w:r>
        <w:rPr>
          <w:rFonts w:hint="eastAsia" w:ascii="仿宋_GB2312" w:hAnsi="Times New Roman" w:cs="Times New Roman"/>
          <w:kern w:val="0"/>
          <w:sz w:val="32"/>
          <w:szCs w:val="32"/>
          <w:lang w:bidi="en-US"/>
        </w:rPr>
        <w:t>目</w:t>
      </w:r>
      <w:r>
        <w:rPr>
          <w:rFonts w:hint="eastAsia" w:ascii="仿宋_GB2312" w:hAnsi="Times New Roman" w:cs="Times New Roman"/>
          <w:kern w:val="0"/>
          <w:sz w:val="32"/>
          <w:szCs w:val="32"/>
          <w:lang w:val="en-US" w:eastAsia="zh-CN" w:bidi="en-US"/>
        </w:rPr>
        <w:t xml:space="preserve"> </w:t>
      </w:r>
      <w:r>
        <w:rPr>
          <w:rFonts w:hint="eastAsia" w:ascii="仿宋_GB2312" w:hAnsi="Times New Roman" w:cs="Times New Roman"/>
          <w:kern w:val="0"/>
          <w:sz w:val="32"/>
          <w:szCs w:val="32"/>
          <w:lang w:bidi="en-US"/>
        </w:rPr>
        <w:t>名</w:t>
      </w:r>
      <w:r>
        <w:rPr>
          <w:rFonts w:hint="eastAsia" w:ascii="仿宋_GB2312" w:hAnsi="Times New Roman" w:cs="Times New Roman"/>
          <w:kern w:val="0"/>
          <w:sz w:val="32"/>
          <w:szCs w:val="32"/>
          <w:lang w:val="en-US" w:eastAsia="zh-CN" w:bidi="en-US"/>
        </w:rPr>
        <w:t xml:space="preserve"> </w:t>
      </w:r>
      <w:r>
        <w:rPr>
          <w:rFonts w:hint="eastAsia" w:ascii="仿宋_GB2312" w:hAnsi="Times New Roman" w:cs="Times New Roman"/>
          <w:kern w:val="0"/>
          <w:sz w:val="32"/>
          <w:szCs w:val="32"/>
          <w:lang w:bidi="en-US"/>
        </w:rPr>
        <w:t>称：额敏县霍吉尔特蒙古民族乡阿克加尔卓塔村人居环境整治</w:t>
      </w:r>
    </w:p>
    <w:p>
      <w:pPr>
        <w:keepNext w:val="0"/>
        <w:keepLines w:val="0"/>
        <w:pageBreakBefore w:val="0"/>
        <w:kinsoku/>
        <w:wordWrap/>
        <w:overflowPunct/>
        <w:topLinePunct w:val="0"/>
        <w:autoSpaceDE/>
        <w:autoSpaceDN/>
        <w:bidi w:val="0"/>
        <w:adjustRightInd/>
        <w:spacing w:line="600" w:lineRule="exact"/>
        <w:jc w:val="left"/>
        <w:rPr>
          <w:rFonts w:ascii="仿宋_GB2312" w:hAnsi="Times New Roman" w:eastAsia="仿宋_GB2312" w:cs="Times New Roman"/>
          <w:kern w:val="0"/>
          <w:sz w:val="32"/>
          <w:szCs w:val="32"/>
          <w:lang w:bidi="en-US"/>
        </w:rPr>
      </w:pPr>
      <w:r>
        <w:rPr>
          <w:rFonts w:hint="eastAsia" w:ascii="仿宋_GB2312" w:hAnsi="Times New Roman" w:cs="Times New Roman"/>
          <w:kern w:val="0"/>
          <w:sz w:val="32"/>
          <w:szCs w:val="32"/>
          <w:lang w:bidi="en-US"/>
        </w:rPr>
        <w:t>实施单位（公章）：额敏县霍吉尔特蒙古民族乡人民政府</w:t>
      </w:r>
    </w:p>
    <w:p>
      <w:pPr>
        <w:keepNext w:val="0"/>
        <w:keepLines w:val="0"/>
        <w:pageBreakBefore w:val="0"/>
        <w:kinsoku/>
        <w:wordWrap/>
        <w:overflowPunct/>
        <w:topLinePunct w:val="0"/>
        <w:autoSpaceDE/>
        <w:autoSpaceDN/>
        <w:bidi w:val="0"/>
        <w:adjustRightInd/>
        <w:spacing w:line="600" w:lineRule="exact"/>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主管部门（公章）：额敏县民族宗教委员会</w:t>
      </w:r>
    </w:p>
    <w:p>
      <w:pPr>
        <w:keepNext w:val="0"/>
        <w:keepLines w:val="0"/>
        <w:pageBreakBefore w:val="0"/>
        <w:kinsoku/>
        <w:wordWrap/>
        <w:overflowPunct/>
        <w:topLinePunct w:val="0"/>
        <w:autoSpaceDE/>
        <w:autoSpaceDN/>
        <w:bidi w:val="0"/>
        <w:adjustRightInd/>
        <w:spacing w:line="600" w:lineRule="exact"/>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项目负责人（签章）：殷盛</w:t>
      </w:r>
    </w:p>
    <w:p>
      <w:pPr>
        <w:keepNext w:val="0"/>
        <w:keepLines w:val="0"/>
        <w:pageBreakBefore w:val="0"/>
        <w:kinsoku/>
        <w:wordWrap/>
        <w:overflowPunct/>
        <w:topLinePunct w:val="0"/>
        <w:autoSpaceDE/>
        <w:autoSpaceDN/>
        <w:bidi w:val="0"/>
        <w:adjustRightInd/>
        <w:spacing w:line="600" w:lineRule="exact"/>
        <w:jc w:val="center"/>
        <w:rPr>
          <w:rFonts w:ascii="方正小标宋_GBK" w:hAnsi="黑体" w:eastAsia="方正小标宋_GBK" w:cs="黑体"/>
          <w:sz w:val="36"/>
          <w:szCs w:val="36"/>
        </w:rPr>
      </w:pPr>
      <w:r>
        <w:rPr>
          <w:rFonts w:hint="eastAsia" w:ascii="仿宋_GB2312" w:hAnsi="Times New Roman" w:cs="Times New Roman"/>
          <w:kern w:val="0"/>
          <w:sz w:val="32"/>
          <w:szCs w:val="32"/>
          <w:lang w:bidi="en-US"/>
        </w:rPr>
        <w:t>填报时间：202</w:t>
      </w:r>
      <w:r>
        <w:rPr>
          <w:rFonts w:ascii="仿宋_GB2312" w:hAnsi="Times New Roman" w:cs="Times New Roman"/>
          <w:kern w:val="0"/>
          <w:sz w:val="32"/>
          <w:szCs w:val="32"/>
          <w:lang w:bidi="en-US"/>
        </w:rPr>
        <w:t>3</w:t>
      </w:r>
      <w:r>
        <w:rPr>
          <w:rFonts w:hint="eastAsia" w:ascii="仿宋_GB2312" w:hAnsi="Times New Roman" w:cs="Times New Roman"/>
          <w:kern w:val="0"/>
          <w:sz w:val="32"/>
          <w:szCs w:val="32"/>
          <w:lang w:bidi="en-US"/>
        </w:rPr>
        <w:t>年</w:t>
      </w:r>
      <w:r>
        <w:rPr>
          <w:rFonts w:hint="eastAsia" w:ascii="仿宋_GB2312" w:hAnsi="Times New Roman" w:cs="Times New Roman"/>
          <w:kern w:val="0"/>
          <w:sz w:val="32"/>
          <w:szCs w:val="32"/>
          <w:lang w:val="en-US" w:eastAsia="zh-CN" w:bidi="en-US"/>
        </w:rPr>
        <w:t>3</w:t>
      </w:r>
      <w:r>
        <w:rPr>
          <w:rFonts w:hint="eastAsia" w:ascii="仿宋_GB2312" w:hAnsi="Times New Roman" w:cs="Times New Roman"/>
          <w:kern w:val="0"/>
          <w:sz w:val="32"/>
          <w:szCs w:val="32"/>
          <w:lang w:bidi="en-US"/>
        </w:rPr>
        <w:t>月</w:t>
      </w:r>
      <w:r>
        <w:rPr>
          <w:rFonts w:hint="eastAsia" w:ascii="仿宋_GB2312" w:hAnsi="Times New Roman" w:cs="Times New Roman"/>
          <w:kern w:val="0"/>
          <w:sz w:val="32"/>
          <w:szCs w:val="32"/>
          <w:lang w:val="en-US" w:eastAsia="zh-CN" w:bidi="en-US"/>
        </w:rPr>
        <w:t>15日</w:t>
      </w:r>
    </w:p>
    <w:p>
      <w:pPr>
        <w:pStyle w:val="7"/>
        <w:keepNext w:val="0"/>
        <w:keepLines w:val="0"/>
        <w:pageBreakBefore w:val="0"/>
        <w:kinsoku/>
        <w:wordWrap/>
        <w:overflowPunct/>
        <w:topLinePunct w:val="0"/>
        <w:autoSpaceDE/>
        <w:autoSpaceDN/>
        <w:bidi w:val="0"/>
        <w:adjustRightInd/>
        <w:spacing w:line="600" w:lineRule="exact"/>
        <w:jc w:val="center"/>
        <w:rPr>
          <w:rFonts w:ascii="方正小标宋_GBK" w:hAnsi="黑体" w:eastAsia="方正小标宋_GBK" w:cs="黑体"/>
          <w:sz w:val="36"/>
          <w:szCs w:val="36"/>
        </w:rPr>
      </w:pPr>
      <w:r>
        <w:rPr>
          <w:rFonts w:hint="eastAsia" w:ascii="方正小标宋_GBK" w:hAnsi="黑体" w:eastAsia="方正小标宋_GBK" w:cs="黑体"/>
          <w:sz w:val="36"/>
          <w:szCs w:val="36"/>
        </w:rPr>
        <w:t>额敏县</w:t>
      </w:r>
      <w:r>
        <w:rPr>
          <w:rFonts w:hint="eastAsia" w:ascii="方正小标宋_GBK" w:hAnsi="黑体" w:eastAsia="方正小标宋_GBK" w:cs="黑体"/>
          <w:color w:val="000000" w:themeColor="text1"/>
          <w:sz w:val="36"/>
          <w:szCs w:val="36"/>
        </w:rPr>
        <w:t>霍吉尔特蒙古民族乡20</w:t>
      </w:r>
      <w:r>
        <w:rPr>
          <w:rFonts w:hint="eastAsia" w:ascii="方正小标宋_GBK" w:hAnsi="黑体" w:eastAsia="方正小标宋_GBK" w:cs="黑体"/>
          <w:sz w:val="36"/>
          <w:szCs w:val="36"/>
        </w:rPr>
        <w:t>22年财政衔接推进乡村振兴补助资金绩效自评总结报告</w:t>
      </w:r>
    </w:p>
    <w:p>
      <w:pPr>
        <w:pStyle w:val="7"/>
        <w:keepNext w:val="0"/>
        <w:keepLines w:val="0"/>
        <w:pageBreakBefore w:val="0"/>
        <w:kinsoku/>
        <w:wordWrap/>
        <w:overflowPunct/>
        <w:topLinePunct w:val="0"/>
        <w:autoSpaceDE/>
        <w:autoSpaceDN/>
        <w:bidi w:val="0"/>
        <w:adjustRightInd/>
        <w:spacing w:line="600" w:lineRule="exact"/>
        <w:ind w:firstLine="161" w:firstLineChars="50"/>
        <w:rPr>
          <w:rFonts w:hint="eastAsia" w:ascii="黑体" w:hAnsi="黑体" w:eastAsia="黑体" w:cs="仿宋_GB2312"/>
          <w:b/>
          <w:sz w:val="32"/>
          <w:szCs w:val="32"/>
        </w:rPr>
      </w:pP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一、绩效目标分解下达情况</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（一）财政衔接推进乡村振兴补助资金下达预算及项目情况</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1.下达预算情况</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本项目合计下达资金54万元。全部为中央财政衔接推进乡村振兴补助资金，具体如下：</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themeColor="text1"/>
          <w:sz w:val="32"/>
          <w:szCs w:val="32"/>
        </w:rPr>
        <w:t>根据</w:t>
      </w:r>
      <w:r>
        <w:rPr>
          <w:rFonts w:hint="eastAsia" w:ascii="仿宋_GB2312" w:hAnsi="仿宋_GB2312" w:eastAsia="仿宋_GB2312" w:cs="仿宋_GB2312"/>
          <w:color w:val="000000" w:themeColor="text1"/>
          <w:sz w:val="32"/>
          <w:szCs w:val="32"/>
          <w:lang w:eastAsia="zh-CN"/>
        </w:rPr>
        <w:t>地区</w:t>
      </w:r>
      <w:r>
        <w:rPr>
          <w:rFonts w:hint="eastAsia" w:ascii="仿宋_GB2312" w:hAnsi="仿宋_GB2312" w:eastAsia="仿宋_GB2312" w:cs="仿宋_GB2312"/>
          <w:color w:val="000000" w:themeColor="text1"/>
          <w:sz w:val="32"/>
          <w:szCs w:val="32"/>
        </w:rPr>
        <w:t>财政局《</w:t>
      </w:r>
      <w:r>
        <w:rPr>
          <w:rFonts w:hint="eastAsia" w:ascii="仿宋_GB2312" w:hAnsi="仿宋_GB2312" w:eastAsia="仿宋_GB2312" w:cs="仿宋_GB2312"/>
          <w:color w:val="000000" w:themeColor="text1"/>
          <w:sz w:val="32"/>
          <w:szCs w:val="32"/>
          <w:lang w:val="en-US" w:eastAsia="zh-CN"/>
        </w:rPr>
        <w:t>提前下达2022年中央财政衔接推进乡村振兴补助资金预算的通知</w:t>
      </w:r>
      <w:r>
        <w:rPr>
          <w:rFonts w:hint="eastAsia" w:ascii="仿宋_GB2312" w:hAnsi="仿宋_GB2312" w:eastAsia="仿宋_GB2312" w:cs="仿宋_GB2312"/>
          <w:color w:val="000000" w:themeColor="text1"/>
          <w:sz w:val="32"/>
          <w:szCs w:val="32"/>
        </w:rPr>
        <w:t>》（塔地财扶［</w:t>
      </w:r>
      <w:r>
        <w:rPr>
          <w:rFonts w:hint="eastAsia" w:ascii="仿宋_GB2312" w:hAnsi="仿宋_GB2312" w:eastAsia="仿宋_GB2312" w:cs="仿宋_GB2312"/>
          <w:color w:val="000000" w:themeColor="text1"/>
          <w:sz w:val="32"/>
          <w:szCs w:val="32"/>
          <w:lang w:eastAsia="zh-CN"/>
        </w:rPr>
        <w:t>202</w:t>
      </w:r>
      <w:r>
        <w:rPr>
          <w:rFonts w:hint="eastAsia" w:ascii="仿宋_GB2312" w:hAnsi="仿宋_GB2312" w:eastAsia="仿宋_GB2312" w:cs="仿宋_GB2312"/>
          <w:color w:val="000000" w:themeColor="text1"/>
          <w:sz w:val="32"/>
          <w:szCs w:val="32"/>
          <w:lang w:val="en-US" w:eastAsia="zh-CN"/>
        </w:rPr>
        <w:t>1</w:t>
      </w:r>
      <w:r>
        <w:rPr>
          <w:rFonts w:hint="eastAsia" w:ascii="仿宋_GB2312" w:hAnsi="仿宋_GB2312" w:eastAsia="仿宋_GB2312" w:cs="仿宋_GB2312"/>
          <w:color w:val="000000" w:themeColor="text1"/>
          <w:sz w:val="32"/>
          <w:szCs w:val="32"/>
        </w:rPr>
        <w:t>］</w:t>
      </w:r>
      <w:r>
        <w:rPr>
          <w:rFonts w:hint="eastAsia" w:ascii="仿宋_GB2312" w:hAnsi="仿宋_GB2312" w:eastAsia="仿宋_GB2312" w:cs="仿宋_GB2312"/>
          <w:color w:val="000000" w:themeColor="text1"/>
          <w:sz w:val="32"/>
          <w:szCs w:val="32"/>
          <w:lang w:val="en-US" w:eastAsia="zh-CN"/>
        </w:rPr>
        <w:t>14</w:t>
      </w:r>
      <w:r>
        <w:rPr>
          <w:rFonts w:hint="eastAsia" w:ascii="仿宋_GB2312" w:hAnsi="仿宋_GB2312" w:eastAsia="仿宋_GB2312" w:cs="仿宋_GB2312"/>
          <w:color w:val="000000" w:themeColor="text1"/>
          <w:sz w:val="32"/>
          <w:szCs w:val="32"/>
        </w:rPr>
        <w:t>号）</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关于提前下达2022年中央财政衔接推进乡村振兴补助资金预算的通知</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（塔地财</w:t>
      </w:r>
      <w:r>
        <w:rPr>
          <w:rFonts w:hint="eastAsia" w:ascii="仿宋_GB2312" w:hAnsi="仿宋_GB2312" w:eastAsia="仿宋_GB2312" w:cs="仿宋_GB2312"/>
          <w:color w:val="000000" w:themeColor="text1"/>
          <w:sz w:val="32"/>
          <w:szCs w:val="32"/>
          <w:lang w:val="en-US" w:eastAsia="zh-CN"/>
        </w:rPr>
        <w:t>农</w:t>
      </w:r>
      <w:r>
        <w:rPr>
          <w:rFonts w:hint="eastAsia" w:ascii="仿宋_GB2312" w:hAnsi="仿宋_GB2312" w:eastAsia="仿宋_GB2312" w:cs="仿宋_GB2312"/>
          <w:color w:val="000000" w:themeColor="text1"/>
          <w:sz w:val="32"/>
          <w:szCs w:val="32"/>
        </w:rPr>
        <w:t>［</w:t>
      </w:r>
      <w:r>
        <w:rPr>
          <w:rFonts w:hint="eastAsia" w:ascii="仿宋_GB2312" w:hAnsi="仿宋_GB2312" w:eastAsia="仿宋_GB2312" w:cs="仿宋_GB2312"/>
          <w:color w:val="000000" w:themeColor="text1"/>
          <w:sz w:val="32"/>
          <w:szCs w:val="32"/>
          <w:lang w:eastAsia="zh-CN"/>
        </w:rPr>
        <w:t>202</w:t>
      </w:r>
      <w:r>
        <w:rPr>
          <w:rFonts w:hint="eastAsia" w:ascii="仿宋_GB2312" w:hAnsi="仿宋_GB2312" w:eastAsia="仿宋_GB2312" w:cs="仿宋_GB2312"/>
          <w:color w:val="000000" w:themeColor="text1"/>
          <w:sz w:val="32"/>
          <w:szCs w:val="32"/>
          <w:lang w:val="en-US" w:eastAsia="zh-CN"/>
        </w:rPr>
        <w:t>2</w:t>
      </w:r>
      <w:r>
        <w:rPr>
          <w:rFonts w:hint="eastAsia" w:ascii="仿宋_GB2312" w:hAnsi="仿宋_GB2312" w:eastAsia="仿宋_GB2312" w:cs="仿宋_GB2312"/>
          <w:color w:val="000000" w:themeColor="text1"/>
          <w:sz w:val="32"/>
          <w:szCs w:val="32"/>
        </w:rPr>
        <w:t>］</w:t>
      </w:r>
      <w:r>
        <w:rPr>
          <w:rFonts w:hint="eastAsia" w:ascii="仿宋_GB2312" w:hAnsi="仿宋_GB2312" w:eastAsia="仿宋_GB2312" w:cs="仿宋_GB2312"/>
          <w:color w:val="000000" w:themeColor="text1"/>
          <w:sz w:val="32"/>
          <w:szCs w:val="32"/>
          <w:lang w:val="en-US" w:eastAsia="zh-CN"/>
        </w:rPr>
        <w:t>2</w:t>
      </w:r>
      <w:r>
        <w:rPr>
          <w:rFonts w:hint="eastAsia" w:ascii="仿宋_GB2312" w:hAnsi="仿宋_GB2312" w:eastAsia="仿宋_GB2312" w:cs="仿宋_GB2312"/>
          <w:color w:val="000000" w:themeColor="text1"/>
          <w:sz w:val="32"/>
          <w:szCs w:val="32"/>
        </w:rPr>
        <w:t>号）</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下达2022年中央财政衔接推进乡村振兴补助资金</w:t>
      </w:r>
      <w:r>
        <w:rPr>
          <w:rFonts w:hint="eastAsia" w:ascii="仿宋_GB2312" w:hAnsi="仿宋_GB2312" w:eastAsia="仿宋_GB2312" w:cs="仿宋_GB2312"/>
          <w:sz w:val="32"/>
          <w:szCs w:val="32"/>
        </w:rPr>
        <w:t>54万元</w:t>
      </w:r>
      <w:r>
        <w:rPr>
          <w:rFonts w:hint="eastAsia" w:ascii="仿宋_GB2312" w:hAnsi="仿宋_GB2312" w:eastAsia="仿宋_GB2312" w:cs="仿宋_GB2312"/>
          <w:sz w:val="32"/>
          <w:szCs w:val="32"/>
          <w:lang w:eastAsia="zh-CN"/>
        </w:rPr>
        <w:t>。</w:t>
      </w:r>
    </w:p>
    <w:p>
      <w:pPr>
        <w:pStyle w:val="7"/>
        <w:keepNext w:val="0"/>
        <w:keepLines w:val="0"/>
        <w:pageBreakBefore w:val="0"/>
        <w:widowControl w:val="0"/>
        <w:numPr>
          <w:ilvl w:val="0"/>
          <w:numId w:val="1"/>
        </w:numPr>
        <w:kinsoku/>
        <w:wordWrap/>
        <w:overflowPunct/>
        <w:topLinePunct w:val="0"/>
        <w:autoSpaceDE/>
        <w:autoSpaceDN/>
        <w:bidi w:val="0"/>
        <w:adjustRightInd/>
        <w:spacing w:line="600" w:lineRule="exact"/>
        <w:ind w:firstLine="643" w:firstLineChars="200"/>
        <w:jc w:val="both"/>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项目情况</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根据额财农字〔2022〕2号，</w:t>
      </w:r>
      <w:r>
        <w:rPr>
          <w:rFonts w:hint="eastAsia" w:ascii="仿宋_GB2312" w:hAnsi="仿宋_GB2312" w:eastAsia="仿宋_GB2312" w:cs="仿宋_GB2312"/>
          <w:color w:val="000000" w:themeColor="text1"/>
          <w:sz w:val="32"/>
          <w:szCs w:val="32"/>
        </w:rPr>
        <w:t>关于下达2022年中央</w:t>
      </w:r>
      <w:r>
        <w:rPr>
          <w:rFonts w:hint="eastAsia" w:ascii="仿宋_GB2312" w:hAnsi="仿宋_GB2312" w:eastAsia="仿宋_GB2312" w:cs="仿宋_GB2312"/>
          <w:sz w:val="32"/>
          <w:szCs w:val="32"/>
        </w:rPr>
        <w:t>财政衔接推进乡村振兴补助资金预算的通知</w:t>
      </w:r>
      <w:r>
        <w:rPr>
          <w:rFonts w:hint="eastAsia" w:ascii="仿宋_GB2312" w:hAnsi="仿宋_GB2312" w:eastAsia="仿宋_GB2312" w:cs="仿宋_GB2312"/>
          <w:color w:val="000000" w:themeColor="text1"/>
          <w:sz w:val="32"/>
          <w:szCs w:val="32"/>
        </w:rPr>
        <w:t>文件，建设内</w:t>
      </w:r>
      <w:r>
        <w:rPr>
          <w:rFonts w:hint="eastAsia" w:ascii="仿宋_GB2312" w:hAnsi="仿宋_GB2312" w:eastAsia="仿宋_GB2312" w:cs="仿宋_GB2312"/>
          <w:sz w:val="32"/>
          <w:szCs w:val="32"/>
        </w:rPr>
        <w:t>容如下：地面硬化2400平方米，防护设施700米，安装路界石320米及附属设施。</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项目总投资：</w:t>
      </w:r>
      <w:r>
        <w:rPr>
          <w:rFonts w:hint="eastAsia" w:ascii="仿宋_GB2312" w:hAnsi="仿宋_GB2312" w:eastAsia="仿宋_GB2312" w:cs="仿宋_GB2312"/>
          <w:color w:val="000000" w:themeColor="text1"/>
          <w:sz w:val="32"/>
          <w:szCs w:val="32"/>
        </w:rPr>
        <w:t>54</w:t>
      </w:r>
      <w:r>
        <w:rPr>
          <w:rFonts w:hint="eastAsia" w:ascii="仿宋_GB2312" w:hAnsi="仿宋_GB2312" w:eastAsia="仿宋_GB2312" w:cs="仿宋_GB2312"/>
          <w:sz w:val="32"/>
          <w:szCs w:val="32"/>
        </w:rPr>
        <w:t>万元。</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主要建设内容：地面硬化2400平方米，防护设施700米，安装路界石320米及附属设施。</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（二）财政衔接推进乡村振兴补助资金项目绩效目标设定情况</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根据我县财政衔接推进乡村振兴补助资金安排，该项目主要对脱贫村基础设施建设项目申报绩效目标。</w:t>
      </w:r>
    </w:p>
    <w:p>
      <w:pPr>
        <w:pStyle w:val="7"/>
        <w:keepNext w:val="0"/>
        <w:keepLines w:val="0"/>
        <w:pageBreakBefore w:val="0"/>
        <w:widowControl w:val="0"/>
        <w:numPr>
          <w:ilvl w:val="0"/>
          <w:numId w:val="2"/>
        </w:numPr>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项目绩效总体目标设定如下：</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目标1：主要建设内容：地面硬化2400平方米，防护设施700米，安装路界石320米及附属设施。通过项目实施解决了群众长期困扰的人居环境脏乱差的现象，村容村貌整治让村庄更美了，农牧民生产生活有了保障。提升村民的环境保护意识，进一步提高美丽乡村建设力度，人居环境明显改善，构建文明卫生乡村民风，促进生态的健康发展</w:t>
      </w:r>
    </w:p>
    <w:p>
      <w:pPr>
        <w:pStyle w:val="7"/>
        <w:keepNext w:val="0"/>
        <w:keepLines w:val="0"/>
        <w:pageBreakBefore w:val="0"/>
        <w:widowControl w:val="0"/>
        <w:numPr>
          <w:ilvl w:val="0"/>
          <w:numId w:val="2"/>
        </w:numPr>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具体绩效指标见下表：</w:t>
      </w:r>
    </w:p>
    <w:tbl>
      <w:tblPr>
        <w:tblStyle w:val="8"/>
        <w:tblW w:w="8636" w:type="dxa"/>
        <w:tblInd w:w="91" w:type="dxa"/>
        <w:tblLayout w:type="fixed"/>
        <w:tblCellMar>
          <w:top w:w="0" w:type="dxa"/>
          <w:left w:w="108" w:type="dxa"/>
          <w:bottom w:w="0" w:type="dxa"/>
          <w:right w:w="108" w:type="dxa"/>
        </w:tblCellMar>
      </w:tblPr>
      <w:tblGrid>
        <w:gridCol w:w="740"/>
        <w:gridCol w:w="1360"/>
        <w:gridCol w:w="1520"/>
        <w:gridCol w:w="1280"/>
        <w:gridCol w:w="1472"/>
        <w:gridCol w:w="14"/>
        <w:gridCol w:w="2250"/>
      </w:tblGrid>
      <w:tr>
        <w:tblPrEx>
          <w:tblLayout w:type="fixed"/>
          <w:tblCellMar>
            <w:top w:w="0" w:type="dxa"/>
            <w:left w:w="108" w:type="dxa"/>
            <w:bottom w:w="0" w:type="dxa"/>
            <w:right w:w="108" w:type="dxa"/>
          </w:tblCellMar>
        </w:tblPrEx>
        <w:trPr>
          <w:trHeight w:val="660" w:hRule="atLeast"/>
        </w:trPr>
        <w:tc>
          <w:tcPr>
            <w:tcW w:w="8636" w:type="dxa"/>
            <w:gridSpan w:val="7"/>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b/>
                <w:bCs/>
                <w:kern w:val="0"/>
                <w:sz w:val="32"/>
                <w:szCs w:val="32"/>
              </w:rPr>
            </w:pPr>
            <w:r>
              <w:rPr>
                <w:rFonts w:hint="eastAsia" w:ascii="宋体" w:hAnsi="宋体" w:cs="宋体"/>
                <w:b/>
                <w:bCs/>
                <w:kern w:val="0"/>
                <w:sz w:val="32"/>
                <w:szCs w:val="32"/>
              </w:rPr>
              <w:t>绩效目标申报表</w:t>
            </w:r>
          </w:p>
        </w:tc>
      </w:tr>
      <w:tr>
        <w:tblPrEx>
          <w:tblLayout w:type="fixed"/>
          <w:tblCellMar>
            <w:top w:w="0" w:type="dxa"/>
            <w:left w:w="108" w:type="dxa"/>
            <w:bottom w:w="0" w:type="dxa"/>
            <w:right w:w="108" w:type="dxa"/>
          </w:tblCellMar>
        </w:tblPrEx>
        <w:trPr>
          <w:trHeight w:val="432" w:hRule="atLeast"/>
        </w:trPr>
        <w:tc>
          <w:tcPr>
            <w:tcW w:w="8636" w:type="dxa"/>
            <w:gridSpan w:val="7"/>
            <w:tcBorders>
              <w:top w:val="nil"/>
              <w:left w:val="nil"/>
              <w:bottom w:val="single" w:color="auto" w:sz="4" w:space="0"/>
              <w:right w:val="nil"/>
            </w:tcBorders>
            <w:shd w:val="clear" w:color="auto" w:fill="auto"/>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（2022年度）</w:t>
            </w:r>
          </w:p>
        </w:tc>
      </w:tr>
      <w:tr>
        <w:tblPrEx>
          <w:tblLayout w:type="fixed"/>
          <w:tblCellMar>
            <w:top w:w="0" w:type="dxa"/>
            <w:left w:w="108" w:type="dxa"/>
            <w:bottom w:w="0" w:type="dxa"/>
            <w:right w:w="108" w:type="dxa"/>
          </w:tblCellMar>
        </w:tblPrEx>
        <w:trPr>
          <w:trHeight w:val="702" w:hRule="atLeast"/>
        </w:trPr>
        <w:tc>
          <w:tcPr>
            <w:tcW w:w="21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b/>
                <w:bCs/>
                <w:kern w:val="0"/>
                <w:sz w:val="24"/>
                <w:szCs w:val="24"/>
              </w:rPr>
            </w:pPr>
            <w:r>
              <w:rPr>
                <w:rFonts w:hint="eastAsia" w:ascii="宋体" w:hAnsi="宋体" w:cs="宋体"/>
                <w:b/>
                <w:bCs/>
                <w:kern w:val="0"/>
                <w:sz w:val="24"/>
                <w:szCs w:val="24"/>
              </w:rPr>
              <w:t>项目名称</w:t>
            </w:r>
          </w:p>
        </w:tc>
        <w:tc>
          <w:tcPr>
            <w:tcW w:w="280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额敏县霍吉尔特蒙古民族乡阿克加尔卓塔村人居环境整治</w:t>
            </w:r>
          </w:p>
        </w:tc>
        <w:tc>
          <w:tcPr>
            <w:tcW w:w="147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b/>
                <w:bCs/>
                <w:kern w:val="0"/>
                <w:sz w:val="24"/>
                <w:szCs w:val="24"/>
              </w:rPr>
            </w:pPr>
            <w:r>
              <w:rPr>
                <w:rFonts w:hint="eastAsia" w:ascii="宋体" w:hAnsi="宋体" w:cs="宋体"/>
                <w:b/>
                <w:bCs/>
                <w:kern w:val="0"/>
                <w:sz w:val="24"/>
                <w:szCs w:val="24"/>
              </w:rPr>
              <w:t>项目负责人及电话</w:t>
            </w:r>
          </w:p>
        </w:tc>
        <w:tc>
          <w:tcPr>
            <w:tcW w:w="2264" w:type="dxa"/>
            <w:gridSpan w:val="2"/>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殷胜18999480850</w:t>
            </w:r>
          </w:p>
        </w:tc>
      </w:tr>
      <w:tr>
        <w:tblPrEx>
          <w:tblLayout w:type="fixed"/>
          <w:tblCellMar>
            <w:top w:w="0" w:type="dxa"/>
            <w:left w:w="108" w:type="dxa"/>
            <w:bottom w:w="0" w:type="dxa"/>
            <w:right w:w="108" w:type="dxa"/>
          </w:tblCellMar>
        </w:tblPrEx>
        <w:trPr>
          <w:trHeight w:val="660" w:hRule="atLeast"/>
        </w:trPr>
        <w:tc>
          <w:tcPr>
            <w:tcW w:w="21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b/>
                <w:bCs/>
                <w:kern w:val="0"/>
                <w:sz w:val="24"/>
                <w:szCs w:val="24"/>
              </w:rPr>
            </w:pPr>
            <w:r>
              <w:rPr>
                <w:rFonts w:hint="eastAsia" w:ascii="宋体" w:hAnsi="宋体" w:cs="宋体"/>
                <w:b/>
                <w:bCs/>
                <w:kern w:val="0"/>
                <w:sz w:val="24"/>
                <w:szCs w:val="24"/>
              </w:rPr>
              <w:t>主管部门</w:t>
            </w:r>
          </w:p>
        </w:tc>
        <w:tc>
          <w:tcPr>
            <w:tcW w:w="280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额敏县民族宗教委员会</w:t>
            </w:r>
          </w:p>
        </w:tc>
        <w:tc>
          <w:tcPr>
            <w:tcW w:w="147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b/>
                <w:bCs/>
                <w:kern w:val="0"/>
                <w:sz w:val="24"/>
                <w:szCs w:val="24"/>
              </w:rPr>
            </w:pPr>
            <w:r>
              <w:rPr>
                <w:rFonts w:hint="eastAsia" w:ascii="宋体" w:hAnsi="宋体" w:cs="宋体"/>
                <w:b/>
                <w:bCs/>
                <w:kern w:val="0"/>
                <w:sz w:val="24"/>
                <w:szCs w:val="24"/>
              </w:rPr>
              <w:t>实施单位</w:t>
            </w:r>
          </w:p>
        </w:tc>
        <w:tc>
          <w:tcPr>
            <w:tcW w:w="2264" w:type="dxa"/>
            <w:gridSpan w:val="2"/>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额敏县霍吉尔特蒙古民族乡人民政府</w:t>
            </w:r>
          </w:p>
        </w:tc>
      </w:tr>
      <w:tr>
        <w:tblPrEx>
          <w:tblLayout w:type="fixed"/>
          <w:tblCellMar>
            <w:top w:w="0" w:type="dxa"/>
            <w:left w:w="108" w:type="dxa"/>
            <w:bottom w:w="0" w:type="dxa"/>
            <w:right w:w="108" w:type="dxa"/>
          </w:tblCellMar>
        </w:tblPrEx>
        <w:trPr>
          <w:trHeight w:val="439" w:hRule="atLeast"/>
        </w:trPr>
        <w:tc>
          <w:tcPr>
            <w:tcW w:w="210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b/>
                <w:bCs/>
                <w:kern w:val="0"/>
                <w:sz w:val="24"/>
                <w:szCs w:val="24"/>
              </w:rPr>
            </w:pPr>
            <w:r>
              <w:rPr>
                <w:rFonts w:hint="eastAsia" w:ascii="宋体" w:hAnsi="宋体" w:cs="宋体"/>
                <w:b/>
                <w:bCs/>
                <w:kern w:val="0"/>
                <w:sz w:val="24"/>
                <w:szCs w:val="24"/>
              </w:rPr>
              <w:t>资金情况</w:t>
            </w:r>
            <w:r>
              <w:rPr>
                <w:rFonts w:hint="eastAsia" w:ascii="宋体" w:hAnsi="宋体" w:cs="宋体"/>
                <w:b/>
                <w:bCs/>
                <w:kern w:val="0"/>
                <w:sz w:val="24"/>
                <w:szCs w:val="24"/>
              </w:rPr>
              <w:br w:type="textWrapping"/>
            </w:r>
            <w:r>
              <w:rPr>
                <w:rFonts w:hint="eastAsia" w:ascii="宋体" w:hAnsi="宋体" w:cs="宋体"/>
                <w:b/>
                <w:bCs/>
                <w:kern w:val="0"/>
                <w:sz w:val="24"/>
                <w:szCs w:val="24"/>
              </w:rPr>
              <w:t>（万元）</w:t>
            </w:r>
          </w:p>
        </w:tc>
        <w:tc>
          <w:tcPr>
            <w:tcW w:w="280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r>
              <w:rPr>
                <w:rFonts w:hint="eastAsia" w:ascii="宋体" w:hAnsi="宋体" w:cs="宋体"/>
                <w:kern w:val="0"/>
                <w:sz w:val="24"/>
                <w:szCs w:val="24"/>
              </w:rPr>
              <w:t>年度资金总额：</w:t>
            </w:r>
          </w:p>
        </w:tc>
        <w:tc>
          <w:tcPr>
            <w:tcW w:w="3736"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54</w:t>
            </w:r>
          </w:p>
        </w:tc>
      </w:tr>
      <w:tr>
        <w:tblPrEx>
          <w:tblLayout w:type="fixed"/>
          <w:tblCellMar>
            <w:top w:w="0" w:type="dxa"/>
            <w:left w:w="108" w:type="dxa"/>
            <w:bottom w:w="0" w:type="dxa"/>
            <w:right w:w="108" w:type="dxa"/>
          </w:tblCellMar>
        </w:tblPrEx>
        <w:trPr>
          <w:trHeight w:val="379" w:hRule="atLeast"/>
        </w:trPr>
        <w:tc>
          <w:tcPr>
            <w:tcW w:w="2100"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280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 xml:space="preserve">       其中：财政拨款</w:t>
            </w:r>
          </w:p>
        </w:tc>
        <w:tc>
          <w:tcPr>
            <w:tcW w:w="3736"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54</w:t>
            </w:r>
          </w:p>
        </w:tc>
      </w:tr>
      <w:tr>
        <w:tblPrEx>
          <w:tblLayout w:type="fixed"/>
          <w:tblCellMar>
            <w:top w:w="0" w:type="dxa"/>
            <w:left w:w="108" w:type="dxa"/>
            <w:bottom w:w="0" w:type="dxa"/>
            <w:right w:w="108" w:type="dxa"/>
          </w:tblCellMar>
        </w:tblPrEx>
        <w:trPr>
          <w:trHeight w:val="462" w:hRule="atLeast"/>
        </w:trPr>
        <w:tc>
          <w:tcPr>
            <w:tcW w:w="2100"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280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 xml:space="preserve">             其他资金</w:t>
            </w:r>
          </w:p>
        </w:tc>
        <w:tc>
          <w:tcPr>
            <w:tcW w:w="3736"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0</w:t>
            </w:r>
          </w:p>
        </w:tc>
      </w:tr>
      <w:tr>
        <w:tblPrEx>
          <w:tblLayout w:type="fixed"/>
          <w:tblCellMar>
            <w:top w:w="0" w:type="dxa"/>
            <w:left w:w="108" w:type="dxa"/>
            <w:bottom w:w="0" w:type="dxa"/>
            <w:right w:w="108" w:type="dxa"/>
          </w:tblCellMar>
        </w:tblPrEx>
        <w:trPr>
          <w:trHeight w:val="42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b/>
                <w:bCs/>
                <w:kern w:val="0"/>
                <w:sz w:val="24"/>
                <w:szCs w:val="24"/>
              </w:rPr>
            </w:pPr>
            <w:r>
              <w:rPr>
                <w:rFonts w:hint="eastAsia" w:ascii="宋体" w:hAnsi="宋体" w:cs="宋体"/>
                <w:b/>
                <w:bCs/>
                <w:kern w:val="0"/>
                <w:sz w:val="24"/>
                <w:szCs w:val="24"/>
              </w:rPr>
              <w:t>总</w:t>
            </w:r>
            <w:r>
              <w:rPr>
                <w:rFonts w:hint="eastAsia" w:ascii="宋体" w:hAnsi="宋体" w:cs="宋体"/>
                <w:b/>
                <w:bCs/>
                <w:kern w:val="0"/>
                <w:sz w:val="24"/>
                <w:szCs w:val="24"/>
              </w:rPr>
              <w:br w:type="textWrapping"/>
            </w:r>
            <w:r>
              <w:rPr>
                <w:rFonts w:hint="eastAsia" w:ascii="宋体" w:hAnsi="宋体" w:cs="宋体"/>
                <w:b/>
                <w:bCs/>
                <w:kern w:val="0"/>
                <w:sz w:val="24"/>
                <w:szCs w:val="24"/>
              </w:rPr>
              <w:t>体</w:t>
            </w:r>
            <w:r>
              <w:rPr>
                <w:rFonts w:hint="eastAsia" w:ascii="宋体" w:hAnsi="宋体" w:cs="宋体"/>
                <w:b/>
                <w:bCs/>
                <w:kern w:val="0"/>
                <w:sz w:val="24"/>
                <w:szCs w:val="24"/>
              </w:rPr>
              <w:br w:type="textWrapping"/>
            </w:r>
            <w:r>
              <w:rPr>
                <w:rFonts w:hint="eastAsia" w:ascii="宋体" w:hAnsi="宋体" w:cs="宋体"/>
                <w:b/>
                <w:bCs/>
                <w:kern w:val="0"/>
                <w:sz w:val="24"/>
                <w:szCs w:val="24"/>
              </w:rPr>
              <w:t>目</w:t>
            </w:r>
            <w:r>
              <w:rPr>
                <w:rFonts w:hint="eastAsia" w:ascii="宋体" w:hAnsi="宋体" w:cs="宋体"/>
                <w:b/>
                <w:bCs/>
                <w:kern w:val="0"/>
                <w:sz w:val="24"/>
                <w:szCs w:val="24"/>
              </w:rPr>
              <w:br w:type="textWrapping"/>
            </w:r>
            <w:r>
              <w:rPr>
                <w:rFonts w:hint="eastAsia" w:ascii="宋体" w:hAnsi="宋体" w:cs="宋体"/>
                <w:b/>
                <w:bCs/>
                <w:kern w:val="0"/>
                <w:sz w:val="24"/>
                <w:szCs w:val="24"/>
              </w:rPr>
              <w:t>标</w:t>
            </w:r>
          </w:p>
        </w:tc>
        <w:tc>
          <w:tcPr>
            <w:tcW w:w="7896" w:type="dxa"/>
            <w:gridSpan w:val="6"/>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b/>
                <w:bCs/>
                <w:kern w:val="0"/>
                <w:sz w:val="24"/>
                <w:szCs w:val="24"/>
              </w:rPr>
            </w:pPr>
            <w:r>
              <w:rPr>
                <w:rFonts w:hint="eastAsia" w:ascii="宋体" w:hAnsi="宋体" w:cs="宋体"/>
                <w:b/>
                <w:bCs/>
                <w:kern w:val="0"/>
                <w:sz w:val="24"/>
                <w:szCs w:val="24"/>
              </w:rPr>
              <w:t>年度目标</w:t>
            </w:r>
          </w:p>
        </w:tc>
      </w:tr>
      <w:tr>
        <w:tblPrEx>
          <w:tblLayout w:type="fixed"/>
          <w:tblCellMar>
            <w:top w:w="0" w:type="dxa"/>
            <w:left w:w="108" w:type="dxa"/>
            <w:bottom w:w="0" w:type="dxa"/>
            <w:right w:w="108" w:type="dxa"/>
          </w:tblCellMar>
        </w:tblPrEx>
        <w:trPr>
          <w:trHeight w:val="1279" w:hRule="atLeast"/>
        </w:trPr>
        <w:tc>
          <w:tcPr>
            <w:tcW w:w="7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7896" w:type="dxa"/>
            <w:gridSpan w:val="6"/>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r>
              <w:rPr>
                <w:rFonts w:hint="eastAsia" w:ascii="宋体" w:hAnsi="宋体" w:cs="宋体"/>
                <w:kern w:val="0"/>
                <w:sz w:val="24"/>
                <w:szCs w:val="24"/>
              </w:rPr>
              <w:t>地面硬化2400平方米，防护设施700米，安装路界石320米及附属设施。</w:t>
            </w:r>
            <w:r>
              <w:rPr>
                <w:rFonts w:hint="eastAsia" w:ascii="宋体" w:hAnsi="宋体" w:cs="宋体"/>
                <w:kern w:val="0"/>
                <w:sz w:val="24"/>
                <w:szCs w:val="24"/>
              </w:rPr>
              <w:br w:type="textWrapping"/>
            </w:r>
            <w:r>
              <w:rPr>
                <w:rFonts w:hint="eastAsia" w:ascii="宋体" w:hAnsi="宋体" w:cs="宋体"/>
                <w:kern w:val="0"/>
                <w:sz w:val="24"/>
                <w:szCs w:val="24"/>
              </w:rPr>
              <w:t>该项目实施后，有利于生态环境改善，美化环境。项目建成后将进一步促进农村现代化、美丽乡村建设，推进乡村环境改造。沿路景观得到了极大的改善，推动了我乡旅游业的发展。</w:t>
            </w:r>
          </w:p>
        </w:tc>
      </w:tr>
      <w:tr>
        <w:tblPrEx>
          <w:tblLayout w:type="fixed"/>
          <w:tblCellMar>
            <w:top w:w="0" w:type="dxa"/>
            <w:left w:w="108" w:type="dxa"/>
            <w:bottom w:w="0" w:type="dxa"/>
            <w:right w:w="108" w:type="dxa"/>
          </w:tblCellMar>
        </w:tblPrEx>
        <w:trPr>
          <w:trHeight w:val="570" w:hRule="atLeast"/>
        </w:trPr>
        <w:tc>
          <w:tcPr>
            <w:tcW w:w="740"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b/>
                <w:bCs/>
                <w:kern w:val="0"/>
                <w:sz w:val="24"/>
                <w:szCs w:val="24"/>
              </w:rPr>
            </w:pPr>
            <w:r>
              <w:rPr>
                <w:rFonts w:hint="eastAsia" w:ascii="宋体" w:hAnsi="宋体" w:cs="宋体"/>
                <w:b/>
                <w:bCs/>
                <w:kern w:val="0"/>
                <w:sz w:val="24"/>
                <w:szCs w:val="24"/>
              </w:rPr>
              <w:t>绩</w:t>
            </w:r>
            <w:r>
              <w:rPr>
                <w:rFonts w:hint="eastAsia" w:ascii="宋体" w:hAnsi="宋体" w:cs="宋体"/>
                <w:b/>
                <w:bCs/>
                <w:kern w:val="0"/>
                <w:sz w:val="24"/>
                <w:szCs w:val="24"/>
              </w:rPr>
              <w:br w:type="textWrapping"/>
            </w:r>
            <w:r>
              <w:rPr>
                <w:rFonts w:hint="eastAsia" w:ascii="宋体" w:hAnsi="宋体" w:cs="宋体"/>
                <w:b/>
                <w:bCs/>
                <w:kern w:val="0"/>
                <w:sz w:val="24"/>
                <w:szCs w:val="24"/>
              </w:rPr>
              <w:t>效</w:t>
            </w:r>
            <w:r>
              <w:rPr>
                <w:rFonts w:hint="eastAsia" w:ascii="宋体" w:hAnsi="宋体" w:cs="宋体"/>
                <w:b/>
                <w:bCs/>
                <w:kern w:val="0"/>
                <w:sz w:val="24"/>
                <w:szCs w:val="24"/>
              </w:rPr>
              <w:br w:type="textWrapping"/>
            </w:r>
            <w:r>
              <w:rPr>
                <w:rFonts w:hint="eastAsia" w:ascii="宋体" w:hAnsi="宋体" w:cs="宋体"/>
                <w:b/>
                <w:bCs/>
                <w:kern w:val="0"/>
                <w:sz w:val="24"/>
                <w:szCs w:val="24"/>
              </w:rPr>
              <w:t>指</w:t>
            </w:r>
            <w:r>
              <w:rPr>
                <w:rFonts w:hint="eastAsia" w:ascii="宋体" w:hAnsi="宋体" w:cs="宋体"/>
                <w:b/>
                <w:bCs/>
                <w:kern w:val="0"/>
                <w:sz w:val="24"/>
                <w:szCs w:val="24"/>
              </w:rPr>
              <w:br w:type="textWrapping"/>
            </w:r>
            <w:r>
              <w:rPr>
                <w:rFonts w:hint="eastAsia" w:ascii="宋体" w:hAnsi="宋体" w:cs="宋体"/>
                <w:b/>
                <w:bCs/>
                <w:kern w:val="0"/>
                <w:sz w:val="24"/>
                <w:szCs w:val="24"/>
              </w:rPr>
              <w:t>标</w:t>
            </w:r>
          </w:p>
        </w:tc>
        <w:tc>
          <w:tcPr>
            <w:tcW w:w="13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b/>
                <w:bCs/>
                <w:kern w:val="0"/>
                <w:sz w:val="24"/>
                <w:szCs w:val="24"/>
              </w:rPr>
            </w:pPr>
            <w:r>
              <w:rPr>
                <w:rFonts w:hint="eastAsia" w:ascii="宋体" w:hAnsi="宋体" w:cs="宋体"/>
                <w:b/>
                <w:bCs/>
                <w:kern w:val="0"/>
                <w:sz w:val="24"/>
                <w:szCs w:val="24"/>
              </w:rPr>
              <w:t>一级指标</w:t>
            </w:r>
          </w:p>
        </w:tc>
        <w:tc>
          <w:tcPr>
            <w:tcW w:w="152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b/>
                <w:bCs/>
                <w:kern w:val="0"/>
                <w:sz w:val="24"/>
                <w:szCs w:val="24"/>
              </w:rPr>
            </w:pPr>
            <w:r>
              <w:rPr>
                <w:rFonts w:hint="eastAsia" w:ascii="宋体" w:hAnsi="宋体" w:cs="宋体"/>
                <w:b/>
                <w:bCs/>
                <w:kern w:val="0"/>
                <w:sz w:val="24"/>
                <w:szCs w:val="24"/>
              </w:rPr>
              <w:t>二级指标</w:t>
            </w:r>
          </w:p>
        </w:tc>
        <w:tc>
          <w:tcPr>
            <w:tcW w:w="2766"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b/>
                <w:bCs/>
                <w:kern w:val="0"/>
                <w:sz w:val="24"/>
                <w:szCs w:val="24"/>
              </w:rPr>
            </w:pPr>
            <w:r>
              <w:rPr>
                <w:rFonts w:hint="eastAsia" w:ascii="宋体" w:hAnsi="宋体" w:cs="宋体"/>
                <w:b/>
                <w:bCs/>
                <w:kern w:val="0"/>
                <w:sz w:val="24"/>
                <w:szCs w:val="24"/>
              </w:rPr>
              <w:t>三级指标</w:t>
            </w:r>
          </w:p>
        </w:tc>
        <w:tc>
          <w:tcPr>
            <w:tcW w:w="22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b/>
                <w:bCs/>
                <w:kern w:val="0"/>
                <w:sz w:val="24"/>
                <w:szCs w:val="24"/>
              </w:rPr>
            </w:pPr>
            <w:r>
              <w:rPr>
                <w:rFonts w:hint="eastAsia" w:ascii="宋体" w:hAnsi="宋体" w:cs="宋体"/>
                <w:b/>
                <w:bCs/>
                <w:kern w:val="0"/>
                <w:sz w:val="24"/>
                <w:szCs w:val="24"/>
              </w:rPr>
              <w:t>指标值</w:t>
            </w:r>
          </w:p>
        </w:tc>
      </w:tr>
      <w:tr>
        <w:tblPrEx>
          <w:tblLayout w:type="fixed"/>
          <w:tblCellMar>
            <w:top w:w="0" w:type="dxa"/>
            <w:left w:w="108" w:type="dxa"/>
            <w:bottom w:w="0" w:type="dxa"/>
            <w:right w:w="108" w:type="dxa"/>
          </w:tblCellMar>
        </w:tblPrEx>
        <w:trPr>
          <w:trHeight w:val="570" w:hRule="atLeast"/>
        </w:trPr>
        <w:tc>
          <w:tcPr>
            <w:tcW w:w="7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1360" w:type="dxa"/>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产出指标</w:t>
            </w:r>
          </w:p>
        </w:tc>
        <w:tc>
          <w:tcPr>
            <w:tcW w:w="1520" w:type="dxa"/>
            <w:vMerge w:val="restart"/>
            <w:tcBorders>
              <w:top w:val="nil"/>
              <w:left w:val="single" w:color="auto" w:sz="4" w:space="0"/>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数量指标</w:t>
            </w:r>
          </w:p>
        </w:tc>
        <w:tc>
          <w:tcPr>
            <w:tcW w:w="2766"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r>
              <w:rPr>
                <w:rFonts w:hint="eastAsia" w:ascii="宋体" w:hAnsi="宋体" w:cs="宋体"/>
                <w:kern w:val="0"/>
                <w:sz w:val="24"/>
                <w:szCs w:val="24"/>
              </w:rPr>
              <w:t>人居环境整治个数</w:t>
            </w:r>
          </w:p>
        </w:tc>
        <w:tc>
          <w:tcPr>
            <w:tcW w:w="22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=1个</w:t>
            </w:r>
          </w:p>
        </w:tc>
      </w:tr>
      <w:tr>
        <w:tblPrEx>
          <w:tblLayout w:type="fixed"/>
          <w:tblCellMar>
            <w:top w:w="0" w:type="dxa"/>
            <w:left w:w="108" w:type="dxa"/>
            <w:bottom w:w="0" w:type="dxa"/>
            <w:right w:w="108" w:type="dxa"/>
          </w:tblCellMar>
        </w:tblPrEx>
        <w:trPr>
          <w:trHeight w:val="439" w:hRule="atLeast"/>
        </w:trPr>
        <w:tc>
          <w:tcPr>
            <w:tcW w:w="7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1360" w:type="dxa"/>
            <w:vMerge w:val="continue"/>
            <w:tcBorders>
              <w:top w:val="single" w:color="auto"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1520"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2766"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r>
              <w:rPr>
                <w:rFonts w:hint="eastAsia" w:ascii="宋体" w:hAnsi="宋体" w:cs="宋体"/>
                <w:kern w:val="0"/>
                <w:sz w:val="24"/>
                <w:szCs w:val="24"/>
              </w:rPr>
              <w:t>地面硬化</w:t>
            </w:r>
          </w:p>
        </w:tc>
        <w:tc>
          <w:tcPr>
            <w:tcW w:w="22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=2400平方米</w:t>
            </w:r>
          </w:p>
        </w:tc>
      </w:tr>
      <w:tr>
        <w:tblPrEx>
          <w:tblLayout w:type="fixed"/>
          <w:tblCellMar>
            <w:top w:w="0" w:type="dxa"/>
            <w:left w:w="108" w:type="dxa"/>
            <w:bottom w:w="0" w:type="dxa"/>
            <w:right w:w="108" w:type="dxa"/>
          </w:tblCellMar>
        </w:tblPrEx>
        <w:trPr>
          <w:trHeight w:val="439" w:hRule="atLeast"/>
        </w:trPr>
        <w:tc>
          <w:tcPr>
            <w:tcW w:w="7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1360" w:type="dxa"/>
            <w:vMerge w:val="continue"/>
            <w:tcBorders>
              <w:top w:val="single" w:color="auto"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1520"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2766"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r>
              <w:rPr>
                <w:rFonts w:hint="eastAsia" w:ascii="宋体" w:hAnsi="宋体" w:cs="宋体"/>
                <w:kern w:val="0"/>
                <w:sz w:val="24"/>
                <w:szCs w:val="24"/>
              </w:rPr>
              <w:t>防护设施</w:t>
            </w:r>
          </w:p>
        </w:tc>
        <w:tc>
          <w:tcPr>
            <w:tcW w:w="22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=700米</w:t>
            </w:r>
          </w:p>
        </w:tc>
      </w:tr>
      <w:tr>
        <w:tblPrEx>
          <w:tblLayout w:type="fixed"/>
          <w:tblCellMar>
            <w:top w:w="0" w:type="dxa"/>
            <w:left w:w="108" w:type="dxa"/>
            <w:bottom w:w="0" w:type="dxa"/>
            <w:right w:w="108" w:type="dxa"/>
          </w:tblCellMar>
        </w:tblPrEx>
        <w:trPr>
          <w:trHeight w:val="439" w:hRule="atLeast"/>
        </w:trPr>
        <w:tc>
          <w:tcPr>
            <w:tcW w:w="7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1360" w:type="dxa"/>
            <w:vMerge w:val="continue"/>
            <w:tcBorders>
              <w:top w:val="single" w:color="auto"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1520"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2766"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r>
              <w:rPr>
                <w:rFonts w:hint="eastAsia" w:ascii="宋体" w:hAnsi="宋体" w:cs="宋体"/>
                <w:kern w:val="0"/>
                <w:sz w:val="24"/>
                <w:szCs w:val="24"/>
              </w:rPr>
              <w:t>安装路界石</w:t>
            </w:r>
          </w:p>
        </w:tc>
        <w:tc>
          <w:tcPr>
            <w:tcW w:w="22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=320米</w:t>
            </w:r>
          </w:p>
        </w:tc>
      </w:tr>
      <w:tr>
        <w:tblPrEx>
          <w:tblLayout w:type="fixed"/>
          <w:tblCellMar>
            <w:top w:w="0" w:type="dxa"/>
            <w:left w:w="108" w:type="dxa"/>
            <w:bottom w:w="0" w:type="dxa"/>
            <w:right w:w="108" w:type="dxa"/>
          </w:tblCellMar>
        </w:tblPrEx>
        <w:trPr>
          <w:trHeight w:val="439" w:hRule="atLeast"/>
        </w:trPr>
        <w:tc>
          <w:tcPr>
            <w:tcW w:w="7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1360" w:type="dxa"/>
            <w:vMerge w:val="continue"/>
            <w:tcBorders>
              <w:top w:val="single" w:color="auto"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152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质量指标</w:t>
            </w:r>
          </w:p>
        </w:tc>
        <w:tc>
          <w:tcPr>
            <w:tcW w:w="2766"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r>
              <w:rPr>
                <w:rFonts w:hint="eastAsia" w:ascii="宋体" w:hAnsi="宋体" w:cs="宋体"/>
                <w:kern w:val="0"/>
                <w:sz w:val="24"/>
                <w:szCs w:val="24"/>
              </w:rPr>
              <w:t>项目验收合格率</w:t>
            </w:r>
          </w:p>
        </w:tc>
        <w:tc>
          <w:tcPr>
            <w:tcW w:w="22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=100%</w:t>
            </w:r>
          </w:p>
        </w:tc>
      </w:tr>
      <w:tr>
        <w:tblPrEx>
          <w:tblLayout w:type="fixed"/>
          <w:tblCellMar>
            <w:top w:w="0" w:type="dxa"/>
            <w:left w:w="108" w:type="dxa"/>
            <w:bottom w:w="0" w:type="dxa"/>
            <w:right w:w="108" w:type="dxa"/>
          </w:tblCellMar>
        </w:tblPrEx>
        <w:trPr>
          <w:trHeight w:val="439" w:hRule="atLeast"/>
        </w:trPr>
        <w:tc>
          <w:tcPr>
            <w:tcW w:w="7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1360" w:type="dxa"/>
            <w:vMerge w:val="continue"/>
            <w:tcBorders>
              <w:top w:val="single" w:color="auto"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1520" w:type="dxa"/>
            <w:vMerge w:val="restart"/>
            <w:tcBorders>
              <w:top w:val="nil"/>
              <w:left w:val="single" w:color="auto" w:sz="4" w:space="0"/>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时效指标</w:t>
            </w:r>
          </w:p>
        </w:tc>
        <w:tc>
          <w:tcPr>
            <w:tcW w:w="2766"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r>
              <w:rPr>
                <w:rFonts w:hint="eastAsia" w:ascii="宋体" w:hAnsi="宋体" w:cs="宋体"/>
                <w:kern w:val="0"/>
                <w:sz w:val="24"/>
                <w:szCs w:val="24"/>
              </w:rPr>
              <w:t>资金支付及时率</w:t>
            </w:r>
          </w:p>
        </w:tc>
        <w:tc>
          <w:tcPr>
            <w:tcW w:w="22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=100%</w:t>
            </w:r>
          </w:p>
        </w:tc>
      </w:tr>
      <w:tr>
        <w:tblPrEx>
          <w:tblLayout w:type="fixed"/>
          <w:tblCellMar>
            <w:top w:w="0" w:type="dxa"/>
            <w:left w:w="108" w:type="dxa"/>
            <w:bottom w:w="0" w:type="dxa"/>
            <w:right w:w="108" w:type="dxa"/>
          </w:tblCellMar>
        </w:tblPrEx>
        <w:trPr>
          <w:trHeight w:val="439" w:hRule="atLeast"/>
        </w:trPr>
        <w:tc>
          <w:tcPr>
            <w:tcW w:w="7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1360" w:type="dxa"/>
            <w:vMerge w:val="continue"/>
            <w:tcBorders>
              <w:top w:val="single" w:color="auto"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1520"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2766"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r>
              <w:rPr>
                <w:rFonts w:hint="eastAsia" w:ascii="宋体" w:hAnsi="宋体" w:cs="宋体"/>
                <w:kern w:val="0"/>
                <w:sz w:val="24"/>
                <w:szCs w:val="24"/>
              </w:rPr>
              <w:t>项目开工时间</w:t>
            </w:r>
          </w:p>
        </w:tc>
        <w:tc>
          <w:tcPr>
            <w:tcW w:w="22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2022年4月</w:t>
            </w:r>
          </w:p>
        </w:tc>
      </w:tr>
      <w:tr>
        <w:tblPrEx>
          <w:tblLayout w:type="fixed"/>
          <w:tblCellMar>
            <w:top w:w="0" w:type="dxa"/>
            <w:left w:w="108" w:type="dxa"/>
            <w:bottom w:w="0" w:type="dxa"/>
            <w:right w:w="108" w:type="dxa"/>
          </w:tblCellMar>
        </w:tblPrEx>
        <w:trPr>
          <w:trHeight w:val="439" w:hRule="atLeast"/>
        </w:trPr>
        <w:tc>
          <w:tcPr>
            <w:tcW w:w="7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1360" w:type="dxa"/>
            <w:vMerge w:val="continue"/>
            <w:tcBorders>
              <w:top w:val="single" w:color="auto"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1520"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2766"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r>
              <w:rPr>
                <w:rFonts w:hint="eastAsia" w:ascii="宋体" w:hAnsi="宋体" w:cs="宋体"/>
                <w:kern w:val="0"/>
                <w:sz w:val="24"/>
                <w:szCs w:val="24"/>
              </w:rPr>
              <w:t>项目完工时间</w:t>
            </w:r>
          </w:p>
        </w:tc>
        <w:tc>
          <w:tcPr>
            <w:tcW w:w="22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2022年5月</w:t>
            </w:r>
          </w:p>
        </w:tc>
      </w:tr>
      <w:tr>
        <w:tblPrEx>
          <w:tblLayout w:type="fixed"/>
          <w:tblCellMar>
            <w:top w:w="0" w:type="dxa"/>
            <w:left w:w="108" w:type="dxa"/>
            <w:bottom w:w="0" w:type="dxa"/>
            <w:right w:w="108" w:type="dxa"/>
          </w:tblCellMar>
        </w:tblPrEx>
        <w:trPr>
          <w:trHeight w:val="439" w:hRule="atLeast"/>
        </w:trPr>
        <w:tc>
          <w:tcPr>
            <w:tcW w:w="7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1360" w:type="dxa"/>
            <w:vMerge w:val="continue"/>
            <w:tcBorders>
              <w:top w:val="single" w:color="auto"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成本指标</w:t>
            </w:r>
          </w:p>
        </w:tc>
        <w:tc>
          <w:tcPr>
            <w:tcW w:w="2766"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r>
              <w:rPr>
                <w:rFonts w:hint="eastAsia" w:ascii="宋体" w:hAnsi="宋体" w:cs="宋体"/>
                <w:kern w:val="0"/>
                <w:sz w:val="24"/>
                <w:szCs w:val="24"/>
              </w:rPr>
              <w:t>地面硬化</w:t>
            </w:r>
          </w:p>
        </w:tc>
        <w:tc>
          <w:tcPr>
            <w:tcW w:w="22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≤40万元</w:t>
            </w:r>
          </w:p>
        </w:tc>
      </w:tr>
      <w:tr>
        <w:tblPrEx>
          <w:tblLayout w:type="fixed"/>
          <w:tblCellMar>
            <w:top w:w="0" w:type="dxa"/>
            <w:left w:w="108" w:type="dxa"/>
            <w:bottom w:w="0" w:type="dxa"/>
            <w:right w:w="108" w:type="dxa"/>
          </w:tblCellMar>
        </w:tblPrEx>
        <w:trPr>
          <w:trHeight w:val="439" w:hRule="atLeast"/>
        </w:trPr>
        <w:tc>
          <w:tcPr>
            <w:tcW w:w="7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1360" w:type="dxa"/>
            <w:vMerge w:val="continue"/>
            <w:tcBorders>
              <w:top w:val="single" w:color="auto" w:sz="4" w:space="0"/>
              <w:left w:val="single" w:color="auto"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152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2766"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r>
              <w:rPr>
                <w:rFonts w:hint="eastAsia" w:ascii="宋体" w:hAnsi="宋体" w:cs="宋体"/>
                <w:kern w:val="0"/>
                <w:sz w:val="24"/>
                <w:szCs w:val="24"/>
              </w:rPr>
              <w:t>附属设施</w:t>
            </w:r>
          </w:p>
        </w:tc>
        <w:tc>
          <w:tcPr>
            <w:tcW w:w="22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≤14万元</w:t>
            </w:r>
          </w:p>
        </w:tc>
      </w:tr>
      <w:tr>
        <w:tblPrEx>
          <w:tblLayout w:type="fixed"/>
          <w:tblCellMar>
            <w:top w:w="0" w:type="dxa"/>
            <w:left w:w="108" w:type="dxa"/>
            <w:bottom w:w="0" w:type="dxa"/>
            <w:right w:w="108" w:type="dxa"/>
          </w:tblCellMar>
        </w:tblPrEx>
        <w:trPr>
          <w:trHeight w:val="480" w:hRule="atLeast"/>
        </w:trPr>
        <w:tc>
          <w:tcPr>
            <w:tcW w:w="7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1360" w:type="dxa"/>
            <w:vMerge w:val="restart"/>
            <w:tcBorders>
              <w:top w:val="nil"/>
              <w:left w:val="single" w:color="auto"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效益指标</w:t>
            </w:r>
          </w:p>
        </w:tc>
        <w:tc>
          <w:tcPr>
            <w:tcW w:w="1520" w:type="dxa"/>
            <w:vMerge w:val="restart"/>
            <w:tcBorders>
              <w:top w:val="nil"/>
              <w:left w:val="single" w:color="auto" w:sz="4" w:space="0"/>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社会效益指标</w:t>
            </w:r>
          </w:p>
        </w:tc>
        <w:tc>
          <w:tcPr>
            <w:tcW w:w="2766"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r>
              <w:rPr>
                <w:rFonts w:hint="eastAsia" w:ascii="宋体" w:hAnsi="宋体" w:cs="宋体"/>
                <w:kern w:val="0"/>
                <w:sz w:val="24"/>
                <w:szCs w:val="24"/>
              </w:rPr>
              <w:t>覆盖村队数</w:t>
            </w:r>
          </w:p>
        </w:tc>
        <w:tc>
          <w:tcPr>
            <w:tcW w:w="22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1个</w:t>
            </w:r>
          </w:p>
        </w:tc>
      </w:tr>
      <w:tr>
        <w:tblPrEx>
          <w:tblLayout w:type="fixed"/>
          <w:tblCellMar>
            <w:top w:w="0" w:type="dxa"/>
            <w:left w:w="108" w:type="dxa"/>
            <w:bottom w:w="0" w:type="dxa"/>
            <w:right w:w="108" w:type="dxa"/>
          </w:tblCellMar>
        </w:tblPrEx>
        <w:trPr>
          <w:trHeight w:val="480" w:hRule="atLeast"/>
        </w:trPr>
        <w:tc>
          <w:tcPr>
            <w:tcW w:w="7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1360" w:type="dxa"/>
            <w:vMerge w:val="continue"/>
            <w:tcBorders>
              <w:top w:val="nil"/>
              <w:left w:val="single" w:color="auto" w:sz="4" w:space="0"/>
              <w:bottom w:val="nil"/>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1520"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2766"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r>
              <w:rPr>
                <w:rFonts w:hint="eastAsia" w:ascii="宋体" w:hAnsi="宋体" w:cs="宋体"/>
                <w:kern w:val="0"/>
                <w:sz w:val="24"/>
                <w:szCs w:val="24"/>
              </w:rPr>
              <w:t>受益脱贫户数</w:t>
            </w:r>
          </w:p>
        </w:tc>
        <w:tc>
          <w:tcPr>
            <w:tcW w:w="22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≥50户</w:t>
            </w:r>
          </w:p>
        </w:tc>
      </w:tr>
      <w:tr>
        <w:tblPrEx>
          <w:tblLayout w:type="fixed"/>
          <w:tblCellMar>
            <w:top w:w="0" w:type="dxa"/>
            <w:left w:w="108" w:type="dxa"/>
            <w:bottom w:w="0" w:type="dxa"/>
            <w:right w:w="108" w:type="dxa"/>
          </w:tblCellMar>
        </w:tblPrEx>
        <w:trPr>
          <w:trHeight w:val="570" w:hRule="atLeast"/>
        </w:trPr>
        <w:tc>
          <w:tcPr>
            <w:tcW w:w="7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1360" w:type="dxa"/>
            <w:vMerge w:val="continue"/>
            <w:tcBorders>
              <w:top w:val="nil"/>
              <w:left w:val="single" w:color="auto" w:sz="4" w:space="0"/>
              <w:bottom w:val="nil"/>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1520" w:type="dxa"/>
            <w:tcBorders>
              <w:top w:val="single" w:color="auto" w:sz="4" w:space="0"/>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可持续影响</w:t>
            </w:r>
            <w:r>
              <w:rPr>
                <w:rFonts w:hint="eastAsia" w:ascii="宋体" w:hAnsi="宋体" w:cs="宋体"/>
                <w:kern w:val="0"/>
                <w:sz w:val="24"/>
                <w:szCs w:val="24"/>
              </w:rPr>
              <w:br w:type="textWrapping"/>
            </w:r>
            <w:r>
              <w:rPr>
                <w:rFonts w:hint="eastAsia" w:ascii="宋体" w:hAnsi="宋体" w:cs="宋体"/>
                <w:kern w:val="0"/>
                <w:sz w:val="24"/>
                <w:szCs w:val="24"/>
              </w:rPr>
              <w:t>指标</w:t>
            </w:r>
          </w:p>
        </w:tc>
        <w:tc>
          <w:tcPr>
            <w:tcW w:w="2766"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r>
              <w:rPr>
                <w:rFonts w:hint="eastAsia" w:ascii="宋体" w:hAnsi="宋体" w:cs="宋体"/>
                <w:kern w:val="0"/>
                <w:sz w:val="24"/>
                <w:szCs w:val="24"/>
              </w:rPr>
              <w:t>项目可使用年限</w:t>
            </w:r>
          </w:p>
        </w:tc>
        <w:tc>
          <w:tcPr>
            <w:tcW w:w="22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≥10年</w:t>
            </w:r>
          </w:p>
        </w:tc>
      </w:tr>
      <w:tr>
        <w:tblPrEx>
          <w:tblLayout w:type="fixed"/>
          <w:tblCellMar>
            <w:top w:w="0" w:type="dxa"/>
            <w:left w:w="108" w:type="dxa"/>
            <w:bottom w:w="0" w:type="dxa"/>
            <w:right w:w="108" w:type="dxa"/>
          </w:tblCellMar>
        </w:tblPrEx>
        <w:trPr>
          <w:trHeight w:val="570" w:hRule="atLeast"/>
        </w:trPr>
        <w:tc>
          <w:tcPr>
            <w:tcW w:w="7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1360" w:type="dxa"/>
            <w:vMerge w:val="continue"/>
            <w:tcBorders>
              <w:top w:val="nil"/>
              <w:left w:val="single" w:color="auto" w:sz="4" w:space="0"/>
              <w:bottom w:val="nil"/>
              <w:right w:val="single" w:color="000000"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1520" w:type="dxa"/>
            <w:tcBorders>
              <w:top w:val="single" w:color="auto" w:sz="4" w:space="0"/>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生态效益指标</w:t>
            </w:r>
          </w:p>
        </w:tc>
        <w:tc>
          <w:tcPr>
            <w:tcW w:w="2766"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r>
              <w:rPr>
                <w:rFonts w:hint="eastAsia" w:ascii="宋体" w:hAnsi="宋体" w:cs="宋体"/>
                <w:kern w:val="0"/>
                <w:sz w:val="24"/>
                <w:szCs w:val="24"/>
              </w:rPr>
              <w:t>利于改善生态环境，美化环境</w:t>
            </w:r>
          </w:p>
        </w:tc>
        <w:tc>
          <w:tcPr>
            <w:tcW w:w="22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有效改善</w:t>
            </w:r>
          </w:p>
        </w:tc>
      </w:tr>
      <w:tr>
        <w:tblPrEx>
          <w:tblLayout w:type="fixed"/>
          <w:tblCellMar>
            <w:top w:w="0" w:type="dxa"/>
            <w:left w:w="108" w:type="dxa"/>
            <w:bottom w:w="0" w:type="dxa"/>
            <w:right w:w="108" w:type="dxa"/>
          </w:tblCellMar>
        </w:tblPrEx>
        <w:trPr>
          <w:trHeight w:val="600" w:hRule="atLeast"/>
        </w:trPr>
        <w:tc>
          <w:tcPr>
            <w:tcW w:w="74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1360" w:type="dxa"/>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满意度指标</w:t>
            </w:r>
          </w:p>
        </w:tc>
        <w:tc>
          <w:tcPr>
            <w:tcW w:w="1520" w:type="dxa"/>
            <w:tcBorders>
              <w:top w:val="single" w:color="auto" w:sz="4" w:space="0"/>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r>
              <w:rPr>
                <w:rFonts w:hint="eastAsia" w:ascii="宋体" w:hAnsi="宋体" w:cs="宋体"/>
                <w:kern w:val="0"/>
                <w:sz w:val="24"/>
                <w:szCs w:val="24"/>
              </w:rPr>
              <w:t>服务对象</w:t>
            </w:r>
            <w:r>
              <w:rPr>
                <w:rFonts w:hint="eastAsia" w:ascii="宋体" w:hAnsi="宋体" w:cs="宋体"/>
                <w:kern w:val="0"/>
                <w:sz w:val="24"/>
                <w:szCs w:val="24"/>
              </w:rPr>
              <w:br w:type="textWrapping"/>
            </w:r>
            <w:r>
              <w:rPr>
                <w:rFonts w:hint="eastAsia" w:ascii="宋体" w:hAnsi="宋体" w:cs="宋体"/>
                <w:kern w:val="0"/>
                <w:sz w:val="24"/>
                <w:szCs w:val="24"/>
              </w:rPr>
              <w:t>满意度指标</w:t>
            </w:r>
          </w:p>
        </w:tc>
        <w:tc>
          <w:tcPr>
            <w:tcW w:w="2766"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r>
              <w:rPr>
                <w:rFonts w:hint="eastAsia" w:ascii="宋体" w:hAnsi="宋体" w:cs="宋体"/>
                <w:kern w:val="0"/>
                <w:sz w:val="24"/>
                <w:szCs w:val="24"/>
              </w:rPr>
              <w:t>受益脱贫户满意度</w:t>
            </w:r>
          </w:p>
        </w:tc>
        <w:tc>
          <w:tcPr>
            <w:tcW w:w="225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≥95%</w:t>
            </w:r>
          </w:p>
        </w:tc>
      </w:tr>
    </w:tbl>
    <w:p>
      <w:pPr>
        <w:pStyle w:val="7"/>
        <w:keepNext w:val="0"/>
        <w:keepLines w:val="0"/>
        <w:pageBreakBefore w:val="0"/>
        <w:kinsoku/>
        <w:wordWrap/>
        <w:overflowPunct/>
        <w:topLinePunct w:val="0"/>
        <w:autoSpaceDE/>
        <w:autoSpaceDN/>
        <w:bidi w:val="0"/>
        <w:adjustRightInd/>
        <w:spacing w:line="600" w:lineRule="exact"/>
        <w:rPr>
          <w:rFonts w:ascii="仿宋_GB2312" w:hAnsi="仿宋_GB2312" w:eastAsia="仿宋_GB2312" w:cs="仿宋_GB2312"/>
          <w:sz w:val="32"/>
          <w:szCs w:val="32"/>
        </w:rPr>
      </w:pP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二</w:t>
      </w:r>
      <w:r>
        <w:rPr>
          <w:rFonts w:hint="eastAsia" w:ascii="仿宋_GB2312" w:hAnsi="仿宋_GB2312" w:eastAsia="仿宋_GB2312" w:cs="仿宋_GB2312"/>
          <w:b/>
          <w:sz w:val="32"/>
          <w:szCs w:val="32"/>
        </w:rPr>
        <w:t>、绩效自评工作开展情况</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（一）自评工作开展范围</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项目合计下达资金</w:t>
      </w:r>
      <w:r>
        <w:rPr>
          <w:rFonts w:hint="eastAsia" w:ascii="仿宋_GB2312" w:hAnsi="仿宋_GB2312" w:eastAsia="仿宋_GB2312" w:cs="仿宋_GB2312"/>
          <w:color w:val="000000" w:themeColor="text1"/>
          <w:sz w:val="32"/>
          <w:szCs w:val="32"/>
        </w:rPr>
        <w:t>54万元</w:t>
      </w:r>
      <w:r>
        <w:rPr>
          <w:rFonts w:hint="eastAsia" w:ascii="仿宋_GB2312" w:hAnsi="仿宋_GB2312" w:eastAsia="仿宋_GB2312" w:cs="仿宋_GB2312"/>
          <w:sz w:val="32"/>
          <w:szCs w:val="32"/>
        </w:rPr>
        <w:t>。通过</w:t>
      </w:r>
      <w:r>
        <w:rPr>
          <w:rFonts w:hint="eastAsia" w:ascii="仿宋_GB2312" w:hAnsi="仿宋_GB2312" w:eastAsia="仿宋_GB2312" w:cs="仿宋_GB2312"/>
          <w:bCs/>
          <w:sz w:val="32"/>
          <w:szCs w:val="32"/>
        </w:rPr>
        <w:t>分析该项目资金使用、管理和项目实施等情况，规范项目申报、公示、审批、实施、监管、验收及资金发放等程序，对项目主管单位和实施单位的资金分配、管理等制度进行开展自评工作。</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color w:val="000000" w:themeColor="text1"/>
          <w:sz w:val="32"/>
          <w:szCs w:val="32"/>
        </w:rPr>
      </w:pPr>
      <w:r>
        <w:rPr>
          <w:rFonts w:hint="eastAsia" w:ascii="仿宋_GB2312" w:hAnsi="仿宋_GB2312" w:eastAsia="仿宋_GB2312" w:cs="仿宋_GB2312"/>
          <w:b/>
          <w:color w:val="000000" w:themeColor="text1"/>
          <w:sz w:val="32"/>
          <w:szCs w:val="32"/>
        </w:rPr>
        <w:t>（二）自评工作开展对象</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z w:val="32"/>
          <w:szCs w:val="32"/>
        </w:rPr>
        <w:t>根据《中共中央国务院关于全面实施预算绩效管理的意见》（中发〔2018〕34号）；《项目支出绩效评价管理办法》（财预〔2020〕10号）；《自治区党委自治区人民政府关于全面实施预算绩效管理的实施意见》（新党发〔2018〕30号）；</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color w:val="000000" w:themeColor="text1"/>
          <w:sz w:val="32"/>
          <w:szCs w:val="32"/>
        </w:rPr>
        <w:t>《2023年度推进塔城地区全面实施预算绩效管理工作规划》等文件精神，及《新疆维吾尔自治区县级扶贫项目资金绩效管理操作指南（试行）》，对本</w:t>
      </w:r>
      <w:r>
        <w:rPr>
          <w:rFonts w:hint="eastAsia" w:ascii="仿宋_GB2312" w:hAnsi="仿宋_GB2312" w:eastAsia="仿宋_GB2312" w:cs="仿宋_GB2312"/>
          <w:bCs/>
          <w:sz w:val="32"/>
          <w:szCs w:val="32"/>
        </w:rPr>
        <w:t>项目的预算资金执行情况及绩效目标的完成情况开展自评。</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highlight w:val="yellow"/>
        </w:rPr>
      </w:pPr>
      <w:r>
        <w:rPr>
          <w:rFonts w:hint="eastAsia" w:ascii="仿宋_GB2312" w:hAnsi="仿宋_GB2312" w:eastAsia="仿宋_GB2312" w:cs="仿宋_GB2312"/>
          <w:b/>
          <w:sz w:val="32"/>
          <w:szCs w:val="32"/>
        </w:rPr>
        <w:t>（三）自评工作开展时间</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lang w:eastAsia="zh-CN"/>
        </w:rPr>
        <w:t>202</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年</w:t>
      </w:r>
      <w:r>
        <w:rPr>
          <w:rFonts w:hint="eastAsia" w:ascii="仿宋_GB2312" w:hAnsi="仿宋_GB2312" w:eastAsia="仿宋_GB2312" w:cs="仿宋_GB2312"/>
          <w:bCs/>
          <w:color w:val="auto"/>
          <w:sz w:val="32"/>
          <w:szCs w:val="32"/>
          <w:lang w:val="en-US" w:eastAsia="zh-CN"/>
        </w:rPr>
        <w:t>1</w:t>
      </w:r>
      <w:r>
        <w:rPr>
          <w:rFonts w:hint="eastAsia" w:ascii="仿宋_GB2312" w:hAnsi="仿宋_GB2312" w:eastAsia="仿宋_GB2312" w:cs="仿宋_GB2312"/>
          <w:bCs/>
          <w:color w:val="auto"/>
          <w:sz w:val="32"/>
          <w:szCs w:val="32"/>
        </w:rPr>
        <w:t>月</w:t>
      </w:r>
      <w:r>
        <w:rPr>
          <w:rFonts w:hint="eastAsia" w:ascii="仿宋_GB2312" w:hAnsi="仿宋_GB2312" w:eastAsia="仿宋_GB2312" w:cs="仿宋_GB2312"/>
          <w:bCs/>
          <w:color w:val="auto"/>
          <w:sz w:val="32"/>
          <w:szCs w:val="32"/>
          <w:lang w:val="en-US" w:eastAsia="zh-CN"/>
        </w:rPr>
        <w:t>1</w:t>
      </w:r>
      <w:r>
        <w:rPr>
          <w:rFonts w:hint="eastAsia" w:ascii="仿宋_GB2312" w:hAnsi="仿宋_GB2312" w:eastAsia="仿宋_GB2312" w:cs="仿宋_GB2312"/>
          <w:bCs/>
          <w:color w:val="auto"/>
          <w:sz w:val="32"/>
          <w:szCs w:val="32"/>
        </w:rPr>
        <w:t>日至</w:t>
      </w:r>
      <w:r>
        <w:rPr>
          <w:rFonts w:hint="eastAsia" w:ascii="仿宋_GB2312" w:hAnsi="仿宋_GB2312" w:eastAsia="仿宋_GB2312" w:cs="仿宋_GB2312"/>
          <w:bCs/>
          <w:color w:val="auto"/>
          <w:sz w:val="32"/>
          <w:szCs w:val="32"/>
          <w:lang w:eastAsia="zh-CN"/>
        </w:rPr>
        <w:t>202</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年</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月</w:t>
      </w:r>
      <w:r>
        <w:rPr>
          <w:rFonts w:hint="eastAsia" w:ascii="仿宋_GB2312" w:hAnsi="仿宋_GB2312" w:eastAsia="仿宋_GB2312" w:cs="仿宋_GB2312"/>
          <w:bCs/>
          <w:color w:val="auto"/>
          <w:sz w:val="32"/>
          <w:szCs w:val="32"/>
          <w:lang w:val="en-US" w:eastAsia="zh-CN"/>
        </w:rPr>
        <w:t>15</w:t>
      </w:r>
      <w:r>
        <w:rPr>
          <w:rFonts w:hint="eastAsia" w:ascii="仿宋_GB2312" w:hAnsi="仿宋_GB2312" w:eastAsia="仿宋_GB2312" w:cs="仿宋_GB2312"/>
          <w:bCs/>
          <w:color w:val="auto"/>
          <w:sz w:val="32"/>
          <w:szCs w:val="32"/>
        </w:rPr>
        <w:t>日开展自评工作。</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（四）自评工作开展方式</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1、前期准备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（1）整理项目全过程资料建档：资金及项目内容批复文件、绩效目标申报表、实施方案、验收等作为评价基础资料。</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（2）由本单位、主管科室、财务等人员组成评价组。</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Cs/>
          <w:sz w:val="32"/>
          <w:szCs w:val="32"/>
        </w:rPr>
        <w:t>（3）自评工作组采取“目标预定与实施效果比较法”进行评价，评价指标体系以绩效目标申报表中的指标为依据。</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2、组织过程</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（1）采取现场和非现场评价相结合的方式实施评价，核查核实评价基础资料。</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Cs/>
          <w:sz w:val="32"/>
          <w:szCs w:val="32"/>
        </w:rPr>
        <w:t>（2）记录工作底稿并经项目负责人和经办人签字确认。需要调查问卷的，发放调查问卷开展满意度调查工作。</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3、分析评价</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Cs/>
          <w:sz w:val="32"/>
          <w:szCs w:val="32"/>
        </w:rPr>
        <w:t>对采集的数据资料进行复核汇总、分类整理和综合分析，按照设立的评价指标、标准、权重、方法实施评价，并形成评价结论。</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三</w:t>
      </w:r>
      <w:r>
        <w:rPr>
          <w:rFonts w:hint="eastAsia" w:ascii="仿宋_GB2312" w:hAnsi="仿宋_GB2312" w:eastAsia="仿宋_GB2312" w:cs="仿宋_GB2312"/>
          <w:b/>
          <w:sz w:val="32"/>
          <w:szCs w:val="32"/>
        </w:rPr>
        <w:t>、绩效目标自评完成情况分析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（一）资金投入情况分析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1.项目资金到位情况分析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本项目全部预算资金54万元，实际到位</w:t>
      </w:r>
      <w:r>
        <w:rPr>
          <w:rFonts w:hint="eastAsia" w:ascii="仿宋_GB2312" w:hAnsi="仿宋_GB2312" w:eastAsia="仿宋_GB2312" w:cs="仿宋_GB2312"/>
          <w:color w:val="000000" w:themeColor="text1"/>
          <w:sz w:val="32"/>
          <w:szCs w:val="32"/>
        </w:rPr>
        <w:t>54万</w:t>
      </w:r>
      <w:r>
        <w:rPr>
          <w:rFonts w:hint="eastAsia" w:ascii="仿宋_GB2312" w:hAnsi="仿宋_GB2312" w:eastAsia="仿宋_GB2312" w:cs="仿宋_GB2312"/>
          <w:sz w:val="32"/>
          <w:szCs w:val="32"/>
        </w:rPr>
        <w:t>元，全部为中央财政衔接推进乡村振兴补助资金，资金</w:t>
      </w:r>
      <w:r>
        <w:rPr>
          <w:rFonts w:hint="eastAsia" w:ascii="仿宋_GB2312" w:hAnsi="仿宋_GB2312" w:eastAsia="仿宋_GB2312" w:cs="仿宋_GB2312"/>
          <w:bCs/>
          <w:sz w:val="32"/>
          <w:szCs w:val="32"/>
        </w:rPr>
        <w:t>预算到位率100%。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2.项目资金执行情况分析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本项目全部预算资金54万元，全年执行数51.55万元，资金执行率95.46%</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3.项目资金管理情况分析</w:t>
      </w:r>
    </w:p>
    <w:p>
      <w:pPr>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本项目资金的使用符合国家财经法规和财务管理制度以及有关专项资金管理办法的规定。同时，资金的拨付有完整的审批程序和手续，符合项目预算批复或合同规定的用途，不存在截留、挤占、挪用、虚列支出等情况。</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（二）绩效目标完成情况分析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iCs/>
          <w:sz w:val="32"/>
          <w:szCs w:val="32"/>
        </w:rPr>
      </w:pPr>
      <w:r>
        <w:rPr>
          <w:rFonts w:hint="eastAsia" w:ascii="仿宋_GB2312" w:hAnsi="仿宋_GB2312" w:eastAsia="仿宋_GB2312" w:cs="仿宋_GB2312"/>
          <w:iCs/>
          <w:sz w:val="32"/>
          <w:szCs w:val="32"/>
        </w:rPr>
        <w:t>通过项目的实施，达到改善脱贫户的居住环境的目标，助力了脱贫攻坚。</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iCs/>
          <w:sz w:val="32"/>
          <w:szCs w:val="32"/>
        </w:rPr>
      </w:pPr>
      <w:r>
        <w:rPr>
          <w:rFonts w:hint="eastAsia" w:ascii="仿宋_GB2312" w:hAnsi="仿宋_GB2312" w:eastAsia="仿宋_GB2312" w:cs="仿宋_GB2312"/>
          <w:iCs/>
          <w:sz w:val="32"/>
          <w:szCs w:val="32"/>
        </w:rPr>
        <w:t>总体目标完成情况：截止2022年12月31日，已经支付51.55万元，项目按照计划正常实行，实际地面硬化2400平方米，防护设施700米，安装路界石320米及附属设施。工程使用年限10年，农牧民满意度达95%，该项目严格按照计划实施，并有效保障了绩效自评工作的顺利开展。</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本项目共设置一级指标3个，二级指标8个，三级指标14个，其中已完成三级指标14个，指标完成率为100%。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1.产出指标完成情况分析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（1）数量指标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Cs/>
          <w:sz w:val="32"/>
          <w:szCs w:val="32"/>
        </w:rPr>
        <w:t>人居环境整治个数，年度指标值：1个 ，实际完成值1个</w:t>
      </w:r>
      <w:r>
        <w:rPr>
          <w:rFonts w:hint="eastAsia" w:ascii="仿宋_GB2312" w:hAnsi="仿宋_GB2312" w:eastAsia="仿宋_GB2312" w:cs="仿宋_GB2312"/>
          <w:bCs/>
          <w:sz w:val="32"/>
          <w:szCs w:val="32"/>
          <w:lang w:val="en-US" w:eastAsia="zh-CN"/>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rPr>
        <w:t>地面硬化，年度指标值：2400平方米 ，实际完成值2400平方米</w:t>
      </w:r>
      <w:r>
        <w:rPr>
          <w:rFonts w:hint="eastAsia" w:ascii="仿宋_GB2312" w:hAnsi="仿宋_GB2312" w:eastAsia="仿宋_GB2312" w:cs="仿宋_GB2312"/>
          <w:bCs/>
          <w:sz w:val="32"/>
          <w:szCs w:val="32"/>
          <w:lang w:eastAsia="zh-CN"/>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rPr>
        <w:t>防护设施，年度指标值：700米 ，实际完成值700米</w:t>
      </w:r>
      <w:r>
        <w:rPr>
          <w:rFonts w:hint="eastAsia" w:ascii="仿宋_GB2312" w:hAnsi="仿宋_GB2312" w:eastAsia="仿宋_GB2312" w:cs="仿宋_GB2312"/>
          <w:bCs/>
          <w:sz w:val="32"/>
          <w:szCs w:val="32"/>
          <w:lang w:eastAsia="zh-CN"/>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安装路界石，年度指标值：320米 ，实际完成值320米。</w:t>
      </w:r>
    </w:p>
    <w:p>
      <w:pPr>
        <w:pStyle w:val="7"/>
        <w:keepNext w:val="0"/>
        <w:keepLines w:val="0"/>
        <w:pageBreakBefore w:val="0"/>
        <w:widowControl w:val="0"/>
        <w:numPr>
          <w:ilvl w:val="0"/>
          <w:numId w:val="2"/>
        </w:numPr>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质量指标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项目验收合格率：年度指标值100%，全年实际值100%。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在计划期限内完成扶贫验收，验收结果评定为合格，并且已经投入使用，改善了脱贫户的居住环境的目标，助力脱贫攻坚。</w:t>
      </w:r>
    </w:p>
    <w:p>
      <w:pPr>
        <w:pStyle w:val="7"/>
        <w:keepNext w:val="0"/>
        <w:keepLines w:val="0"/>
        <w:pageBreakBefore w:val="0"/>
        <w:widowControl w:val="0"/>
        <w:numPr>
          <w:ilvl w:val="0"/>
          <w:numId w:val="2"/>
        </w:numPr>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时效指标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资金支付及时率：年度指标值=100，全年实际值100</w:t>
      </w:r>
      <w:r>
        <w:rPr>
          <w:rFonts w:hint="eastAsia" w:ascii="仿宋_GB2312" w:hAnsi="仿宋_GB2312" w:eastAsia="仿宋_GB2312" w:cs="仿宋_GB2312"/>
          <w:bCs/>
          <w:sz w:val="32"/>
          <w:szCs w:val="32"/>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项目开工时间：年度指标值2022年4月，全年实际值2022年4月</w:t>
      </w:r>
      <w:r>
        <w:rPr>
          <w:rFonts w:hint="eastAsia" w:ascii="仿宋_GB2312" w:hAnsi="仿宋_GB2312" w:eastAsia="仿宋_GB2312" w:cs="仿宋_GB2312"/>
          <w:bCs/>
          <w:sz w:val="32"/>
          <w:szCs w:val="32"/>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项目完成时间：年度指标值2022年5月，全年实际值2022年5月</w:t>
      </w:r>
      <w:r>
        <w:rPr>
          <w:rFonts w:hint="eastAsia" w:ascii="仿宋_GB2312" w:hAnsi="仿宋_GB2312" w:eastAsia="仿宋_GB2312" w:cs="仿宋_GB2312"/>
          <w:bCs/>
          <w:sz w:val="32"/>
          <w:szCs w:val="32"/>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（5）成本指标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地面硬化:年度指标值≤40万元，全年实际完成指标值</w:t>
      </w:r>
      <w:r>
        <w:rPr>
          <w:rFonts w:hint="eastAsia" w:ascii="仿宋_GB2312" w:hAnsi="仿宋_GB2312" w:eastAsia="仿宋_GB2312" w:cs="仿宋_GB2312"/>
          <w:color w:val="000000"/>
          <w:sz w:val="32"/>
          <w:szCs w:val="32"/>
          <w:lang w:val="en-US" w:eastAsia="zh-CN"/>
        </w:rPr>
        <w:t>38.18</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bCs/>
          <w:sz w:val="32"/>
          <w:szCs w:val="32"/>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color w:val="000000"/>
          <w:sz w:val="32"/>
          <w:szCs w:val="32"/>
        </w:rPr>
        <w:t>附属设施:年度指标值≤14万元，全年实际完成指标值</w:t>
      </w:r>
      <w:r>
        <w:rPr>
          <w:rFonts w:hint="eastAsia" w:ascii="仿宋_GB2312" w:hAnsi="仿宋_GB2312" w:eastAsia="仿宋_GB2312" w:cs="仿宋_GB2312"/>
          <w:color w:val="000000"/>
          <w:sz w:val="32"/>
          <w:szCs w:val="32"/>
          <w:lang w:val="en-US" w:eastAsia="zh-CN"/>
        </w:rPr>
        <w:t>13.37</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bCs/>
          <w:sz w:val="32"/>
          <w:szCs w:val="32"/>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2.效益指标完成情况分析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（1）社会效益指标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脱贫困户受益：年度指标值50户，全年实际值50户</w:t>
      </w:r>
      <w:r>
        <w:rPr>
          <w:rFonts w:hint="eastAsia" w:ascii="仿宋_GB2312" w:hAnsi="仿宋_GB2312" w:eastAsia="仿宋_GB2312" w:cs="仿宋_GB2312"/>
          <w:bCs/>
          <w:sz w:val="32"/>
          <w:szCs w:val="32"/>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覆盖村队数：年度指标值1个，全年实际值1个</w:t>
      </w:r>
      <w:r>
        <w:rPr>
          <w:rFonts w:hint="eastAsia" w:ascii="仿宋_GB2312" w:hAnsi="仿宋_GB2312" w:eastAsia="仿宋_GB2312" w:cs="仿宋_GB2312"/>
          <w:bCs/>
          <w:sz w:val="32"/>
          <w:szCs w:val="32"/>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（2）可持续影响指标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color w:val="000000"/>
          <w:sz w:val="32"/>
          <w:szCs w:val="32"/>
        </w:rPr>
        <w:t>项目实施影响时限：年度指标值≥10年，全年实际值10年</w:t>
      </w:r>
      <w:r>
        <w:rPr>
          <w:rFonts w:hint="eastAsia" w:ascii="仿宋_GB2312" w:hAnsi="仿宋_GB2312" w:eastAsia="仿宋_GB2312" w:cs="仿宋_GB2312"/>
          <w:bCs/>
          <w:sz w:val="32"/>
          <w:szCs w:val="32"/>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（3）生态效益指标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利于改善生态环境，</w:t>
      </w:r>
      <w:r>
        <w:rPr>
          <w:rFonts w:hint="eastAsia" w:ascii="仿宋_GB2312" w:hAnsi="仿宋_GB2312" w:eastAsia="仿宋_GB2312" w:cs="仿宋_GB2312"/>
          <w:color w:val="000000"/>
          <w:sz w:val="32"/>
          <w:szCs w:val="32"/>
        </w:rPr>
        <w:t>年度指标值有效改善，全年实际值有效改善</w:t>
      </w:r>
      <w:r>
        <w:rPr>
          <w:rFonts w:hint="eastAsia" w:ascii="仿宋_GB2312" w:hAnsi="仿宋_GB2312" w:eastAsia="仿宋_GB2312" w:cs="仿宋_GB2312"/>
          <w:bCs/>
          <w:sz w:val="32"/>
          <w:szCs w:val="32"/>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3.满意度指标完成情况分析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受益人口满意度：年度指标值≥95%，经统计，全年实际值等于95%</w:t>
      </w:r>
      <w:r>
        <w:rPr>
          <w:rFonts w:hint="eastAsia" w:ascii="仿宋_GB2312" w:hAnsi="仿宋_GB2312" w:eastAsia="仿宋_GB2312" w:cs="仿宋_GB2312"/>
          <w:bCs/>
          <w:sz w:val="32"/>
          <w:szCs w:val="32"/>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四</w:t>
      </w:r>
      <w:r>
        <w:rPr>
          <w:rFonts w:hint="eastAsia" w:ascii="仿宋_GB2312" w:hAnsi="仿宋_GB2312" w:eastAsia="仿宋_GB2312" w:cs="仿宋_GB2312"/>
          <w:b/>
          <w:sz w:val="32"/>
          <w:szCs w:val="32"/>
        </w:rPr>
        <w:t>、偏离绩效目标的原因和下一步改进措施</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（一）偏离绩效目标的原因</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color w:val="000000"/>
          <w:sz w:val="32"/>
          <w:szCs w:val="32"/>
        </w:rPr>
      </w:pPr>
      <w:r>
        <w:rPr>
          <w:rFonts w:hint="eastAsia" w:ascii="仿宋_GB2312" w:hAnsi="仿宋_GB2312" w:eastAsia="仿宋_GB2312" w:cs="仿宋_GB2312"/>
          <w:sz w:val="32"/>
          <w:szCs w:val="32"/>
        </w:rPr>
        <w:t>本项目预算执行率为95.46%，</w:t>
      </w:r>
      <w:r>
        <w:rPr>
          <w:rFonts w:hint="eastAsia" w:ascii="仿宋_GB2312" w:hAnsi="仿宋_GB2312" w:eastAsia="仿宋_GB2312" w:cs="仿宋_GB2312"/>
          <w:color w:val="000000" w:themeColor="text1"/>
          <w:sz w:val="32"/>
          <w:szCs w:val="32"/>
        </w:rPr>
        <w:t>首先因项目通过工程审计，工程总价审减，项目成本减少，其次项目质保期未到，3%质保金尚未支付，造成执行率偏差4.54%。</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（二）下一步改进措施</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本项目按照预期内完成项目建设及资金补助，已经保障人居环境居住条件，提升改善居住环境，实现为彻底打赢脱贫攻坚战夯实基础的目标</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 xml:space="preserve">在今后的补助项目当中对设计目标要提高设计标准，优化、细化方案，对各项指标和指标值的设定要进一步优化、完善。  </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今后对基础设施建设补助项目进行跟踪管理，做好抽查巡查机制，以便使补助资金的发放发挥更大的效益。</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五、绩效自评结果拟应用和公开情况</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Cs/>
          <w:sz w:val="32"/>
          <w:szCs w:val="32"/>
        </w:rPr>
        <w:t>经综合评价，本项目实施达成预期指标，资金使用、管理、保障到位，严格执行</w:t>
      </w:r>
      <w:r>
        <w:rPr>
          <w:rFonts w:hint="eastAsia" w:ascii="仿宋_GB2312" w:hAnsi="仿宋_GB2312" w:eastAsia="仿宋_GB2312" w:cs="仿宋_GB2312"/>
          <w:bCs/>
          <w:sz w:val="32"/>
          <w:szCs w:val="32"/>
        </w:rPr>
        <w:t>《中央财政衔接推进乡村振兴补助资金管理办法》</w:t>
      </w:r>
      <w:r>
        <w:rPr>
          <w:rFonts w:hint="eastAsia" w:ascii="仿宋_GB2312" w:hAnsi="仿宋_GB2312" w:eastAsia="仿宋_GB2312" w:cs="仿宋_GB2312"/>
          <w:iCs/>
          <w:sz w:val="32"/>
          <w:szCs w:val="32"/>
        </w:rPr>
        <w:t>，能按照实施方案执行项目管理，达到保障人居环境居住条件，提升改善了居住环境的目标，助力乡村振兴。</w:t>
      </w:r>
      <w:r>
        <w:rPr>
          <w:rFonts w:hint="eastAsia" w:ascii="仿宋_GB2312" w:hAnsi="仿宋_GB2312" w:eastAsia="仿宋_GB2312" w:cs="仿宋_GB2312"/>
          <w:sz w:val="32"/>
          <w:szCs w:val="32"/>
        </w:rPr>
        <w:t>今后要积极采取其他部门的反馈意见，针对反馈意见，在今后的补助项目当中举一反三，提高项目建设管理能力，</w:t>
      </w:r>
      <w:r>
        <w:rPr>
          <w:rFonts w:hint="eastAsia" w:ascii="仿宋_GB2312" w:hAnsi="仿宋_GB2312" w:eastAsia="仿宋_GB2312" w:cs="仿宋_GB2312"/>
          <w:iCs/>
          <w:sz w:val="32"/>
          <w:szCs w:val="32"/>
        </w:rPr>
        <w:t>为下一阶段开展工作做好准备。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iCs/>
          <w:sz w:val="32"/>
          <w:szCs w:val="32"/>
        </w:rPr>
      </w:pPr>
      <w:r>
        <w:rPr>
          <w:rFonts w:hint="eastAsia" w:ascii="仿宋_GB2312" w:hAnsi="仿宋_GB2312" w:eastAsia="仿宋_GB2312" w:cs="仿宋_GB2312"/>
          <w:iCs/>
          <w:sz w:val="32"/>
          <w:szCs w:val="32"/>
        </w:rPr>
        <w:t>本项目，综合自评得分为99.5分。</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Cs/>
          <w:sz w:val="32"/>
          <w:szCs w:val="32"/>
        </w:rPr>
        <w:t>本项目绩效自评报告将按照规定要求，通过门户网站或张榜公示等方式向社会公开，接受社会监督。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10</w:t>
    </w:r>
    <w: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2FBF8D"/>
    <w:multiLevelType w:val="singleLevel"/>
    <w:tmpl w:val="882FBF8D"/>
    <w:lvl w:ilvl="0" w:tentative="0">
      <w:start w:val="2"/>
      <w:numFmt w:val="decimal"/>
      <w:lvlText w:val="%1."/>
      <w:lvlJc w:val="left"/>
      <w:pPr>
        <w:tabs>
          <w:tab w:val="left" w:pos="312"/>
        </w:tabs>
      </w:pPr>
    </w:lvl>
  </w:abstractNum>
  <w:abstractNum w:abstractNumId="1">
    <w:nsid w:val="350730C2"/>
    <w:multiLevelType w:val="singleLevel"/>
    <w:tmpl w:val="350730C2"/>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JkNGRiOGJhMTY3MzI2YmMxYjJmOGYyNjBmZjFmZGQifQ=="/>
    <w:docVar w:name="KSO_WPS_MARK_KEY" w:val="cc90900d-22ff-4d28-88eb-75c87d0ea992"/>
  </w:docVars>
  <w:rsids>
    <w:rsidRoot w:val="00172A27"/>
    <w:rsid w:val="000356E5"/>
    <w:rsid w:val="00063125"/>
    <w:rsid w:val="000635A2"/>
    <w:rsid w:val="00076C79"/>
    <w:rsid w:val="000A5A76"/>
    <w:rsid w:val="000D439B"/>
    <w:rsid w:val="000D5157"/>
    <w:rsid w:val="000E59AC"/>
    <w:rsid w:val="00101E48"/>
    <w:rsid w:val="001157CD"/>
    <w:rsid w:val="001510A9"/>
    <w:rsid w:val="00155684"/>
    <w:rsid w:val="00164B84"/>
    <w:rsid w:val="00172A27"/>
    <w:rsid w:val="001866F7"/>
    <w:rsid w:val="001C04CF"/>
    <w:rsid w:val="001C39A4"/>
    <w:rsid w:val="001D316D"/>
    <w:rsid w:val="001E307F"/>
    <w:rsid w:val="001E7FF6"/>
    <w:rsid w:val="001F1A6C"/>
    <w:rsid w:val="002431FF"/>
    <w:rsid w:val="00244CE7"/>
    <w:rsid w:val="00262BB2"/>
    <w:rsid w:val="002B12DE"/>
    <w:rsid w:val="002B6039"/>
    <w:rsid w:val="002C5CFF"/>
    <w:rsid w:val="002E6EE1"/>
    <w:rsid w:val="0031466F"/>
    <w:rsid w:val="00350956"/>
    <w:rsid w:val="00362FEA"/>
    <w:rsid w:val="003A15F4"/>
    <w:rsid w:val="004018C3"/>
    <w:rsid w:val="004041FF"/>
    <w:rsid w:val="004167C2"/>
    <w:rsid w:val="00425639"/>
    <w:rsid w:val="004611E5"/>
    <w:rsid w:val="00477BED"/>
    <w:rsid w:val="00481536"/>
    <w:rsid w:val="004A3CCC"/>
    <w:rsid w:val="004B718E"/>
    <w:rsid w:val="004D5AD8"/>
    <w:rsid w:val="004E4D05"/>
    <w:rsid w:val="00504210"/>
    <w:rsid w:val="00513EA0"/>
    <w:rsid w:val="00525C9E"/>
    <w:rsid w:val="00531CF5"/>
    <w:rsid w:val="00564F9E"/>
    <w:rsid w:val="0057435B"/>
    <w:rsid w:val="00590CF1"/>
    <w:rsid w:val="005B2ED5"/>
    <w:rsid w:val="005C3F39"/>
    <w:rsid w:val="005D6C83"/>
    <w:rsid w:val="005E6AC9"/>
    <w:rsid w:val="0060614D"/>
    <w:rsid w:val="00607882"/>
    <w:rsid w:val="00622812"/>
    <w:rsid w:val="00632633"/>
    <w:rsid w:val="0063342F"/>
    <w:rsid w:val="00637041"/>
    <w:rsid w:val="00673E8D"/>
    <w:rsid w:val="00685E56"/>
    <w:rsid w:val="00687AB4"/>
    <w:rsid w:val="00691762"/>
    <w:rsid w:val="006B7D94"/>
    <w:rsid w:val="006C6C29"/>
    <w:rsid w:val="006E2ADE"/>
    <w:rsid w:val="006F0EF4"/>
    <w:rsid w:val="00720B35"/>
    <w:rsid w:val="0073709B"/>
    <w:rsid w:val="007577AB"/>
    <w:rsid w:val="007672A5"/>
    <w:rsid w:val="00773F9C"/>
    <w:rsid w:val="0077493A"/>
    <w:rsid w:val="007B1FEC"/>
    <w:rsid w:val="007E27EC"/>
    <w:rsid w:val="007E5B8D"/>
    <w:rsid w:val="007E69B3"/>
    <w:rsid w:val="007F6575"/>
    <w:rsid w:val="00813863"/>
    <w:rsid w:val="008142E8"/>
    <w:rsid w:val="0082329E"/>
    <w:rsid w:val="0082407E"/>
    <w:rsid w:val="008241D4"/>
    <w:rsid w:val="00844DAC"/>
    <w:rsid w:val="0084710D"/>
    <w:rsid w:val="0085105A"/>
    <w:rsid w:val="0085754A"/>
    <w:rsid w:val="00866CCE"/>
    <w:rsid w:val="00891352"/>
    <w:rsid w:val="008B330C"/>
    <w:rsid w:val="008C17FA"/>
    <w:rsid w:val="008E2DE1"/>
    <w:rsid w:val="0093240E"/>
    <w:rsid w:val="009355FA"/>
    <w:rsid w:val="0096053C"/>
    <w:rsid w:val="009778BB"/>
    <w:rsid w:val="00980784"/>
    <w:rsid w:val="0098475C"/>
    <w:rsid w:val="009867F1"/>
    <w:rsid w:val="009B148D"/>
    <w:rsid w:val="009C2CAD"/>
    <w:rsid w:val="009F314D"/>
    <w:rsid w:val="009F753E"/>
    <w:rsid w:val="00A03DF1"/>
    <w:rsid w:val="00A17134"/>
    <w:rsid w:val="00A4575F"/>
    <w:rsid w:val="00A801EE"/>
    <w:rsid w:val="00AB72EF"/>
    <w:rsid w:val="00AB7982"/>
    <w:rsid w:val="00AD161F"/>
    <w:rsid w:val="00B02131"/>
    <w:rsid w:val="00B133B4"/>
    <w:rsid w:val="00B31775"/>
    <w:rsid w:val="00B7041E"/>
    <w:rsid w:val="00B73CAC"/>
    <w:rsid w:val="00B85DDB"/>
    <w:rsid w:val="00BA2783"/>
    <w:rsid w:val="00BA6862"/>
    <w:rsid w:val="00BB675A"/>
    <w:rsid w:val="00BD30BB"/>
    <w:rsid w:val="00BF3BAC"/>
    <w:rsid w:val="00C111A9"/>
    <w:rsid w:val="00C169DE"/>
    <w:rsid w:val="00C57DE3"/>
    <w:rsid w:val="00C64C9A"/>
    <w:rsid w:val="00C861B1"/>
    <w:rsid w:val="00C869CB"/>
    <w:rsid w:val="00C9484E"/>
    <w:rsid w:val="00C96DE7"/>
    <w:rsid w:val="00CA3978"/>
    <w:rsid w:val="00CA4236"/>
    <w:rsid w:val="00D0350C"/>
    <w:rsid w:val="00D0710E"/>
    <w:rsid w:val="00D3237E"/>
    <w:rsid w:val="00D62509"/>
    <w:rsid w:val="00D7602C"/>
    <w:rsid w:val="00D91433"/>
    <w:rsid w:val="00D9581A"/>
    <w:rsid w:val="00DA0168"/>
    <w:rsid w:val="00DE59CC"/>
    <w:rsid w:val="00E03900"/>
    <w:rsid w:val="00E11135"/>
    <w:rsid w:val="00E1166D"/>
    <w:rsid w:val="00E36AAD"/>
    <w:rsid w:val="00E66E40"/>
    <w:rsid w:val="00E813D2"/>
    <w:rsid w:val="00E94F02"/>
    <w:rsid w:val="00EA3B19"/>
    <w:rsid w:val="00EA65B9"/>
    <w:rsid w:val="00EA719F"/>
    <w:rsid w:val="00EC26DC"/>
    <w:rsid w:val="00EE57E9"/>
    <w:rsid w:val="00F43C67"/>
    <w:rsid w:val="00F76C6F"/>
    <w:rsid w:val="00FB1E09"/>
    <w:rsid w:val="00FB6DDD"/>
    <w:rsid w:val="00FE5DD3"/>
    <w:rsid w:val="013F1246"/>
    <w:rsid w:val="01484C81"/>
    <w:rsid w:val="01B82838"/>
    <w:rsid w:val="04D836D0"/>
    <w:rsid w:val="04DE101D"/>
    <w:rsid w:val="05213F70"/>
    <w:rsid w:val="05356534"/>
    <w:rsid w:val="062866AB"/>
    <w:rsid w:val="068A151F"/>
    <w:rsid w:val="06FF227F"/>
    <w:rsid w:val="0775008D"/>
    <w:rsid w:val="07DD21AF"/>
    <w:rsid w:val="0811193C"/>
    <w:rsid w:val="085F5D7F"/>
    <w:rsid w:val="08A8436F"/>
    <w:rsid w:val="08C933D8"/>
    <w:rsid w:val="093259F3"/>
    <w:rsid w:val="09913E17"/>
    <w:rsid w:val="0A375730"/>
    <w:rsid w:val="0B530AC9"/>
    <w:rsid w:val="0B804FD7"/>
    <w:rsid w:val="0C293915"/>
    <w:rsid w:val="0F40581B"/>
    <w:rsid w:val="10345B46"/>
    <w:rsid w:val="10C671FB"/>
    <w:rsid w:val="10E93E90"/>
    <w:rsid w:val="11826F8A"/>
    <w:rsid w:val="126F7391"/>
    <w:rsid w:val="12900B58"/>
    <w:rsid w:val="130D64A2"/>
    <w:rsid w:val="147C1B29"/>
    <w:rsid w:val="149B7734"/>
    <w:rsid w:val="167C17F1"/>
    <w:rsid w:val="16AC4E5E"/>
    <w:rsid w:val="16DE521B"/>
    <w:rsid w:val="17C35302"/>
    <w:rsid w:val="180343EB"/>
    <w:rsid w:val="1870263E"/>
    <w:rsid w:val="18835A91"/>
    <w:rsid w:val="19123459"/>
    <w:rsid w:val="1E700C52"/>
    <w:rsid w:val="1F203647"/>
    <w:rsid w:val="20CC311F"/>
    <w:rsid w:val="21A31C30"/>
    <w:rsid w:val="231A3433"/>
    <w:rsid w:val="234174BA"/>
    <w:rsid w:val="2397375D"/>
    <w:rsid w:val="245A462F"/>
    <w:rsid w:val="247C0DC3"/>
    <w:rsid w:val="24CC7E8F"/>
    <w:rsid w:val="2558727E"/>
    <w:rsid w:val="25E237FF"/>
    <w:rsid w:val="268D2FFF"/>
    <w:rsid w:val="26D75013"/>
    <w:rsid w:val="273E292C"/>
    <w:rsid w:val="2766466B"/>
    <w:rsid w:val="27851253"/>
    <w:rsid w:val="27FC1492"/>
    <w:rsid w:val="28C234B9"/>
    <w:rsid w:val="29074326"/>
    <w:rsid w:val="29A44584"/>
    <w:rsid w:val="2A0A292C"/>
    <w:rsid w:val="2A2C02EA"/>
    <w:rsid w:val="2A636B36"/>
    <w:rsid w:val="2AF6579E"/>
    <w:rsid w:val="2B424747"/>
    <w:rsid w:val="2C2A56DC"/>
    <w:rsid w:val="2D992BED"/>
    <w:rsid w:val="2F4E3FEE"/>
    <w:rsid w:val="2FFA732F"/>
    <w:rsid w:val="30FD5D6F"/>
    <w:rsid w:val="31E969EE"/>
    <w:rsid w:val="32611749"/>
    <w:rsid w:val="32FC739D"/>
    <w:rsid w:val="3373180F"/>
    <w:rsid w:val="34E7513E"/>
    <w:rsid w:val="35623DE4"/>
    <w:rsid w:val="35723D4D"/>
    <w:rsid w:val="35B45C86"/>
    <w:rsid w:val="360B3381"/>
    <w:rsid w:val="3679623C"/>
    <w:rsid w:val="36FC0C18"/>
    <w:rsid w:val="374544A5"/>
    <w:rsid w:val="3765282F"/>
    <w:rsid w:val="37966E9D"/>
    <w:rsid w:val="38B811F7"/>
    <w:rsid w:val="38F961F6"/>
    <w:rsid w:val="399C2EE0"/>
    <w:rsid w:val="39B95BC6"/>
    <w:rsid w:val="3A4F7E7B"/>
    <w:rsid w:val="3A644887"/>
    <w:rsid w:val="3B6411D4"/>
    <w:rsid w:val="3CB939B5"/>
    <w:rsid w:val="3D185B36"/>
    <w:rsid w:val="3FAD443E"/>
    <w:rsid w:val="40284A51"/>
    <w:rsid w:val="411671AB"/>
    <w:rsid w:val="41615490"/>
    <w:rsid w:val="41B3224E"/>
    <w:rsid w:val="42635443"/>
    <w:rsid w:val="42881B73"/>
    <w:rsid w:val="42C41CE4"/>
    <w:rsid w:val="42EC6A00"/>
    <w:rsid w:val="43964C28"/>
    <w:rsid w:val="43D752E4"/>
    <w:rsid w:val="44123161"/>
    <w:rsid w:val="451E7FA0"/>
    <w:rsid w:val="46736836"/>
    <w:rsid w:val="46A462C3"/>
    <w:rsid w:val="48A10D2F"/>
    <w:rsid w:val="491F544A"/>
    <w:rsid w:val="4A8D701B"/>
    <w:rsid w:val="4B652BCD"/>
    <w:rsid w:val="4BF34932"/>
    <w:rsid w:val="4CE332BC"/>
    <w:rsid w:val="4D8F554E"/>
    <w:rsid w:val="4F0423DC"/>
    <w:rsid w:val="4F41037F"/>
    <w:rsid w:val="4FBC5B56"/>
    <w:rsid w:val="4FBF090F"/>
    <w:rsid w:val="50F92314"/>
    <w:rsid w:val="529C3F04"/>
    <w:rsid w:val="546D5D37"/>
    <w:rsid w:val="54F92511"/>
    <w:rsid w:val="550106AB"/>
    <w:rsid w:val="59385552"/>
    <w:rsid w:val="5A5844D1"/>
    <w:rsid w:val="5B127569"/>
    <w:rsid w:val="5B8337A3"/>
    <w:rsid w:val="5B9655EE"/>
    <w:rsid w:val="5CA066E2"/>
    <w:rsid w:val="5DA35E7E"/>
    <w:rsid w:val="5E517D5D"/>
    <w:rsid w:val="5F0A38BC"/>
    <w:rsid w:val="5F860125"/>
    <w:rsid w:val="60565B67"/>
    <w:rsid w:val="6068521B"/>
    <w:rsid w:val="60B66CB8"/>
    <w:rsid w:val="61F17DCD"/>
    <w:rsid w:val="639C4549"/>
    <w:rsid w:val="64A90F21"/>
    <w:rsid w:val="651B358E"/>
    <w:rsid w:val="651F3ADB"/>
    <w:rsid w:val="65246B24"/>
    <w:rsid w:val="655E78D2"/>
    <w:rsid w:val="663D1E8A"/>
    <w:rsid w:val="66E519D9"/>
    <w:rsid w:val="67421AB3"/>
    <w:rsid w:val="674F2C34"/>
    <w:rsid w:val="67921C85"/>
    <w:rsid w:val="67A105D0"/>
    <w:rsid w:val="67D14C1C"/>
    <w:rsid w:val="67E53C8C"/>
    <w:rsid w:val="68A439CF"/>
    <w:rsid w:val="68B32F0E"/>
    <w:rsid w:val="6A282B5D"/>
    <w:rsid w:val="6A893829"/>
    <w:rsid w:val="6B566370"/>
    <w:rsid w:val="6BBF57BF"/>
    <w:rsid w:val="6BDD0871"/>
    <w:rsid w:val="6CD35DC6"/>
    <w:rsid w:val="6DFD7E2A"/>
    <w:rsid w:val="6E1D4216"/>
    <w:rsid w:val="6E656CE4"/>
    <w:rsid w:val="6EE2762C"/>
    <w:rsid w:val="6F563FF7"/>
    <w:rsid w:val="6FC17085"/>
    <w:rsid w:val="6FDB2D58"/>
    <w:rsid w:val="7116043B"/>
    <w:rsid w:val="73011C04"/>
    <w:rsid w:val="73AB4B6D"/>
    <w:rsid w:val="76DB2C18"/>
    <w:rsid w:val="77012BAA"/>
    <w:rsid w:val="77240AD1"/>
    <w:rsid w:val="77B50195"/>
    <w:rsid w:val="77FB44DB"/>
    <w:rsid w:val="78351175"/>
    <w:rsid w:val="784F295E"/>
    <w:rsid w:val="79582BCA"/>
    <w:rsid w:val="79AE5E4E"/>
    <w:rsid w:val="7A616B9A"/>
    <w:rsid w:val="7B89572E"/>
    <w:rsid w:val="7B9D3BE0"/>
    <w:rsid w:val="7CE97A31"/>
    <w:rsid w:val="7E152483"/>
    <w:rsid w:val="7FE14E5A"/>
    <w:rsid w:val="7FF743A7"/>
    <w:rsid w:val="7FFB3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rPr>
      <w:rFonts w:cs="Times New Roman"/>
    </w:rPr>
  </w:style>
  <w:style w:type="paragraph" w:styleId="3">
    <w:name w:val="annotation text"/>
    <w:basedOn w:val="1"/>
    <w:unhideWhenUsed/>
    <w:qFormat/>
    <w:uiPriority w:val="99"/>
    <w:pPr>
      <w:jc w:val="left"/>
    </w:pPr>
  </w:style>
  <w:style w:type="paragraph" w:styleId="4">
    <w:name w:val="Balloon Text"/>
    <w:basedOn w:val="1"/>
    <w:link w:val="13"/>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12"/>
    <w:unhideWhenUsed/>
    <w:qFormat/>
    <w:uiPriority w:val="99"/>
    <w:pPr>
      <w:snapToGrid w:val="0"/>
      <w:jc w:val="left"/>
    </w:pPr>
    <w:rPr>
      <w:rFonts w:cs="Times New Roman"/>
      <w:sz w:val="18"/>
      <w:szCs w:val="18"/>
    </w:rPr>
  </w:style>
  <w:style w:type="character" w:styleId="10">
    <w:name w:val="Strong"/>
    <w:qFormat/>
    <w:uiPriority w:val="0"/>
    <w:rPr>
      <w:rFonts w:cs="Times New Roman"/>
      <w:b/>
      <w:bCs/>
    </w:rPr>
  </w:style>
  <w:style w:type="character" w:styleId="11">
    <w:name w:val="annotation reference"/>
    <w:basedOn w:val="9"/>
    <w:unhideWhenUsed/>
    <w:qFormat/>
    <w:uiPriority w:val="99"/>
    <w:rPr>
      <w:sz w:val="21"/>
      <w:szCs w:val="21"/>
    </w:rPr>
  </w:style>
  <w:style w:type="character" w:customStyle="1" w:styleId="12">
    <w:name w:val="脚注文本 Char"/>
    <w:basedOn w:val="9"/>
    <w:link w:val="7"/>
    <w:qFormat/>
    <w:uiPriority w:val="99"/>
    <w:rPr>
      <w:rFonts w:ascii="Calibri" w:hAnsi="Calibri" w:eastAsia="宋体" w:cs="Times New Roman"/>
      <w:sz w:val="18"/>
      <w:szCs w:val="18"/>
    </w:rPr>
  </w:style>
  <w:style w:type="character" w:customStyle="1" w:styleId="13">
    <w:name w:val="批注框文本 Char"/>
    <w:basedOn w:val="9"/>
    <w:link w:val="4"/>
    <w:semiHidden/>
    <w:qFormat/>
    <w:uiPriority w:val="99"/>
    <w:rPr>
      <w:kern w:val="2"/>
      <w:sz w:val="18"/>
      <w:szCs w:val="18"/>
    </w:rPr>
  </w:style>
  <w:style w:type="character" w:customStyle="1" w:styleId="14">
    <w:name w:val="页眉 Char"/>
    <w:basedOn w:val="9"/>
    <w:link w:val="6"/>
    <w:qFormat/>
    <w:uiPriority w:val="99"/>
    <w:rPr>
      <w:rFonts w:ascii="Calibri" w:hAnsi="Calibri" w:eastAsia="宋体" w:cs="黑体"/>
      <w:kern w:val="2"/>
      <w:sz w:val="18"/>
      <w:szCs w:val="18"/>
    </w:rPr>
  </w:style>
  <w:style w:type="character" w:customStyle="1" w:styleId="15">
    <w:name w:val="页脚 Char"/>
    <w:basedOn w:val="9"/>
    <w:link w:val="5"/>
    <w:qFormat/>
    <w:uiPriority w:val="99"/>
    <w:rPr>
      <w:rFonts w:ascii="Calibri" w:hAnsi="Calibri" w:eastAsia="宋体" w:cs="黑体"/>
      <w:kern w:val="2"/>
      <w:sz w:val="18"/>
      <w:szCs w:val="18"/>
    </w:rPr>
  </w:style>
  <w:style w:type="character" w:customStyle="1" w:styleId="16">
    <w:name w:val="font21"/>
    <w:basedOn w:val="9"/>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2012dnd.com</Company>
  <Pages>10</Pages>
  <Words>585</Words>
  <Characters>3340</Characters>
  <Lines>27</Lines>
  <Paragraphs>7</Paragraphs>
  <TotalTime>5</TotalTime>
  <ScaleCrop>false</ScaleCrop>
  <LinksUpToDate>false</LinksUpToDate>
  <CharactersWithSpaces>3918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2023-03-11T19:20:00Z</dcterms:created>
  <dc:creator>zhangyanping</dc:creator>
  <cp:lastModifiedBy>Administrator</cp:lastModifiedBy>
  <cp:lastPrinted>2019-11-29T11:32:00Z</cp:lastPrinted>
  <dcterms:modified xsi:type="dcterms:W3CDTF">2023-02-10T04:24:20Z</dcterms:modified>
  <dc:title>塔城市阿不都拉乡2021年财政专项扶贫资金绩效自评总结报告</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24BCDAAF10B146FD809FDFE27C77D7D5</vt:lpwstr>
  </property>
</Properties>
</file>