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both"/>
        <w:rPr>
          <w:b/>
          <w:sz w:val="44"/>
          <w:szCs w:val="44"/>
        </w:rPr>
      </w:pPr>
      <w:bookmarkStart w:id="0" w:name="_GoBack"/>
      <w:bookmarkEnd w:id="0"/>
    </w:p>
    <w:p>
      <w:pPr>
        <w:pStyle w:val="7"/>
        <w:spacing w:line="360" w:lineRule="auto"/>
        <w:jc w:val="center"/>
        <w:rPr>
          <w:b/>
          <w:sz w:val="44"/>
          <w:szCs w:val="44"/>
        </w:rPr>
      </w:pP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额敏县霍吉尔特蒙古民族乡2022年财政衔接推进乡村振兴补助资金绩效</w:t>
      </w: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b/>
          <w:sz w:val="44"/>
          <w:szCs w:val="44"/>
        </w:rPr>
      </w:pPr>
      <w:r>
        <w:rPr>
          <w:rFonts w:hint="eastAsia" w:ascii="方正小标宋简体" w:hAnsi="方正小标宋简体" w:eastAsia="方正小标宋简体" w:cs="方正小标宋简体"/>
          <w:b w:val="0"/>
          <w:bCs/>
          <w:sz w:val="44"/>
          <w:szCs w:val="44"/>
        </w:rPr>
        <w:t>自评总结报告</w:t>
      </w: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b/>
          <w:sz w:val="44"/>
          <w:szCs w:val="44"/>
        </w:rPr>
      </w:pP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b/>
          <w:sz w:val="44"/>
          <w:szCs w:val="44"/>
        </w:rPr>
      </w:pP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sz w:val="44"/>
          <w:szCs w:val="44"/>
        </w:rPr>
      </w:pPr>
      <w:r>
        <w:rPr>
          <w:rFonts w:hint="eastAsia"/>
          <w:sz w:val="44"/>
          <w:szCs w:val="44"/>
        </w:rPr>
        <w:t>（</w:t>
      </w:r>
      <w:r>
        <w:rPr>
          <w:sz w:val="44"/>
          <w:szCs w:val="44"/>
        </w:rPr>
        <w:t>20</w:t>
      </w:r>
      <w:r>
        <w:rPr>
          <w:rFonts w:hint="eastAsia"/>
          <w:sz w:val="44"/>
          <w:szCs w:val="44"/>
        </w:rPr>
        <w:t>22年度）</w:t>
      </w: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44"/>
          <w:szCs w:val="44"/>
        </w:rPr>
      </w:pPr>
    </w:p>
    <w:p>
      <w:pPr>
        <w:pStyle w:val="7"/>
        <w:keepNext w:val="0"/>
        <w:keepLines w:val="0"/>
        <w:pageBreakBefore w:val="0"/>
        <w:widowControl w:val="0"/>
        <w:kinsoku/>
        <w:wordWrap/>
        <w:overflowPunct/>
        <w:topLinePunct w:val="0"/>
        <w:autoSpaceDE/>
        <w:autoSpaceDN/>
        <w:bidi w:val="0"/>
        <w:adjustRightInd/>
        <w:spacing w:line="600" w:lineRule="exact"/>
        <w:textAlignment w:val="auto"/>
        <w:rPr>
          <w:sz w:val="36"/>
          <w:szCs w:val="36"/>
        </w:rPr>
      </w:pPr>
    </w:p>
    <w:p>
      <w:pPr>
        <w:keepNext w:val="0"/>
        <w:keepLines w:val="0"/>
        <w:pageBreakBefore w:val="0"/>
        <w:widowControl w:val="0"/>
        <w:kinsoku/>
        <w:wordWrap/>
        <w:overflowPunct/>
        <w:topLinePunct w:val="0"/>
        <w:autoSpaceDE/>
        <w:autoSpaceDN/>
        <w:bidi w:val="0"/>
        <w:adjustRightInd/>
        <w:spacing w:line="600" w:lineRule="exact"/>
        <w:ind w:left="2520" w:hanging="2520" w:hangingChars="700"/>
        <w:jc w:val="both"/>
        <w:textAlignment w:val="auto"/>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项</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目</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名</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称：</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额敏县霍吉尔特蒙古民族乡人居环境整治配套建设</w:t>
      </w:r>
    </w:p>
    <w:p>
      <w:pPr>
        <w:keepNext w:val="0"/>
        <w:keepLines w:val="0"/>
        <w:pageBreakBefore w:val="0"/>
        <w:widowControl w:val="0"/>
        <w:kinsoku/>
        <w:wordWrap/>
        <w:overflowPunct/>
        <w:topLinePunct w:val="0"/>
        <w:autoSpaceDE/>
        <w:autoSpaceDN/>
        <w:bidi w:val="0"/>
        <w:adjustRightInd/>
        <w:spacing w:line="600" w:lineRule="exact"/>
        <w:ind w:left="3240" w:hanging="3240" w:hangingChars="900"/>
        <w:jc w:val="both"/>
        <w:textAlignment w:val="auto"/>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实施单位（公章）：额敏县霍吉尔特蒙古民族乡人民政府</w:t>
      </w:r>
    </w:p>
    <w:p>
      <w:pPr>
        <w:keepNext w:val="0"/>
        <w:keepLines w:val="0"/>
        <w:pageBreakBefore w:val="0"/>
        <w:widowControl w:val="0"/>
        <w:kinsoku/>
        <w:wordWrap/>
        <w:overflowPunct/>
        <w:topLinePunct w:val="0"/>
        <w:autoSpaceDE/>
        <w:autoSpaceDN/>
        <w:bidi w:val="0"/>
        <w:adjustRightInd/>
        <w:spacing w:line="600" w:lineRule="exact"/>
        <w:jc w:val="both"/>
        <w:textAlignment w:val="auto"/>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主管部门（公章）：额敏县民族宗教委员会</w:t>
      </w:r>
    </w:p>
    <w:p>
      <w:pPr>
        <w:keepNext w:val="0"/>
        <w:keepLines w:val="0"/>
        <w:pageBreakBefore w:val="0"/>
        <w:widowControl w:val="0"/>
        <w:kinsoku/>
        <w:wordWrap/>
        <w:overflowPunct/>
        <w:topLinePunct w:val="0"/>
        <w:autoSpaceDE/>
        <w:autoSpaceDN/>
        <w:bidi w:val="0"/>
        <w:adjustRightInd/>
        <w:spacing w:line="600" w:lineRule="exact"/>
        <w:jc w:val="both"/>
        <w:textAlignment w:val="auto"/>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项目负责人（签章）：殷</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盛</w:t>
      </w:r>
    </w:p>
    <w:p>
      <w:pPr>
        <w:pStyle w:val="2"/>
        <w:keepNext w:val="0"/>
        <w:keepLines w:val="0"/>
        <w:pageBreakBefore w:val="0"/>
        <w:widowControl w:val="0"/>
        <w:kinsoku/>
        <w:wordWrap/>
        <w:overflowPunct/>
        <w:topLinePunct w:val="0"/>
        <w:autoSpaceDE/>
        <w:autoSpaceDN/>
        <w:bidi w:val="0"/>
        <w:adjustRightInd/>
        <w:spacing w:line="600" w:lineRule="exact"/>
        <w:textAlignment w:val="auto"/>
      </w:pPr>
    </w:p>
    <w:p>
      <w:pPr>
        <w:keepNext w:val="0"/>
        <w:keepLines w:val="0"/>
        <w:pageBreakBefore w:val="0"/>
        <w:widowControl w:val="0"/>
        <w:kinsoku/>
        <w:wordWrap/>
        <w:overflowPunct/>
        <w:topLinePunct w:val="0"/>
        <w:autoSpaceDE/>
        <w:autoSpaceDN/>
        <w:bidi w:val="0"/>
        <w:adjustRightInd/>
        <w:spacing w:line="600" w:lineRule="exact"/>
        <w:jc w:val="center"/>
        <w:textAlignment w:val="auto"/>
        <w:rPr>
          <w:rFonts w:ascii="方正小标宋_GBK" w:hAnsi="黑体" w:eastAsia="方正小标宋_GBK" w:cs="黑体"/>
          <w:sz w:val="36"/>
          <w:szCs w:val="36"/>
        </w:rPr>
      </w:pPr>
      <w:r>
        <w:rPr>
          <w:rFonts w:hint="eastAsia" w:ascii="仿宋_GB2312" w:hAnsi="仿宋_GB2312" w:eastAsia="仿宋_GB2312" w:cs="仿宋_GB2312"/>
          <w:kern w:val="0"/>
          <w:sz w:val="36"/>
          <w:szCs w:val="36"/>
          <w:lang w:bidi="en-US"/>
        </w:rPr>
        <w:t>填报时间：2023年</w:t>
      </w:r>
      <w:r>
        <w:rPr>
          <w:rFonts w:hint="eastAsia" w:ascii="仿宋_GB2312" w:hAnsi="仿宋_GB2312" w:eastAsia="仿宋_GB2312" w:cs="仿宋_GB2312"/>
          <w:kern w:val="0"/>
          <w:sz w:val="36"/>
          <w:szCs w:val="36"/>
          <w:lang w:val="en-US" w:eastAsia="zh-CN" w:bidi="en-US"/>
        </w:rPr>
        <w:t>3</w:t>
      </w:r>
      <w:r>
        <w:rPr>
          <w:rFonts w:hint="eastAsia" w:ascii="仿宋_GB2312" w:hAnsi="仿宋_GB2312" w:eastAsia="仿宋_GB2312" w:cs="仿宋_GB2312"/>
          <w:kern w:val="0"/>
          <w:sz w:val="36"/>
          <w:szCs w:val="36"/>
          <w:lang w:bidi="en-US"/>
        </w:rPr>
        <w:t>月</w:t>
      </w:r>
      <w:r>
        <w:rPr>
          <w:rFonts w:hint="eastAsia" w:ascii="仿宋_GB2312" w:hAnsi="仿宋_GB2312" w:eastAsia="仿宋_GB2312" w:cs="仿宋_GB2312"/>
          <w:kern w:val="0"/>
          <w:sz w:val="36"/>
          <w:szCs w:val="36"/>
          <w:lang w:val="en-US" w:eastAsia="zh-CN" w:bidi="en-US"/>
        </w:rPr>
        <w:t>15日</w:t>
      </w:r>
    </w:p>
    <w:p>
      <w:pPr>
        <w:pStyle w:val="7"/>
        <w:keepNext w:val="0"/>
        <w:keepLines w:val="0"/>
        <w:pageBreakBefore w:val="0"/>
        <w:widowControl w:val="0"/>
        <w:kinsoku/>
        <w:wordWrap/>
        <w:overflowPunct/>
        <w:topLinePunct w:val="0"/>
        <w:autoSpaceDE/>
        <w:autoSpaceDN/>
        <w:bidi w:val="0"/>
        <w:adjustRightInd/>
        <w:spacing w:line="600" w:lineRule="exact"/>
        <w:jc w:val="center"/>
        <w:textAlignment w:val="auto"/>
        <w:rPr>
          <w:rFonts w:ascii="方正小标宋_GBK" w:hAnsi="黑体" w:eastAsia="方正小标宋_GBK" w:cs="黑体"/>
          <w:sz w:val="36"/>
          <w:szCs w:val="36"/>
        </w:rPr>
      </w:pPr>
      <w:r>
        <w:rPr>
          <w:rFonts w:hint="eastAsia" w:ascii="方正小标宋简体" w:hAnsi="方正小标宋简体" w:eastAsia="方正小标宋简体" w:cs="方正小标宋简体"/>
          <w:sz w:val="36"/>
          <w:szCs w:val="36"/>
        </w:rPr>
        <w:t>额敏县</w:t>
      </w:r>
      <w:r>
        <w:rPr>
          <w:rFonts w:hint="eastAsia" w:ascii="方正小标宋简体" w:hAnsi="方正小标宋简体" w:eastAsia="方正小标宋简体" w:cs="方正小标宋简体"/>
          <w:color w:val="000000" w:themeColor="text1"/>
          <w:sz w:val="36"/>
          <w:szCs w:val="36"/>
        </w:rPr>
        <w:t>霍吉尔特蒙古民族乡20</w:t>
      </w:r>
      <w:r>
        <w:rPr>
          <w:rFonts w:hint="eastAsia" w:ascii="方正小标宋简体" w:hAnsi="方正小标宋简体" w:eastAsia="方正小标宋简体" w:cs="方正小标宋简体"/>
          <w:sz w:val="36"/>
          <w:szCs w:val="36"/>
        </w:rPr>
        <w:t>22年财政衔接推进乡村振兴补助资金绩效自评总结报告</w:t>
      </w:r>
    </w:p>
    <w:p>
      <w:pPr>
        <w:pStyle w:val="7"/>
        <w:spacing w:line="360" w:lineRule="auto"/>
        <w:ind w:firstLine="161" w:firstLineChars="50"/>
        <w:rPr>
          <w:rFonts w:hint="eastAsia" w:ascii="黑体" w:hAnsi="黑体" w:eastAsia="黑体" w:cs="仿宋_GB2312"/>
          <w:b/>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一、绩效目标分解下达情况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（一）财政衔接推进乡村振兴补助资金下达预算及项目情况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本项目合计下达资金250万元。全部为中央财政衔接推进乡村振兴补助资金，具体如下：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rPr>
        <w:t>根据</w:t>
      </w:r>
      <w:r>
        <w:rPr>
          <w:rFonts w:hint="eastAsia" w:ascii="仿宋_GB2312" w:hAnsi="仿宋_GB2312" w:eastAsia="仿宋_GB2312" w:cs="仿宋_GB2312"/>
          <w:color w:val="000000" w:themeColor="text1"/>
          <w:sz w:val="32"/>
          <w:szCs w:val="32"/>
          <w:lang w:eastAsia="zh-CN"/>
        </w:rPr>
        <w:t>地区</w:t>
      </w:r>
      <w:r>
        <w:rPr>
          <w:rFonts w:hint="eastAsia" w:ascii="仿宋_GB2312" w:hAnsi="仿宋_GB2312" w:eastAsia="仿宋_GB2312" w:cs="仿宋_GB2312"/>
          <w:color w:val="000000" w:themeColor="text1"/>
          <w:sz w:val="32"/>
          <w:szCs w:val="32"/>
        </w:rPr>
        <w:t>财政局《</w:t>
      </w:r>
      <w:r>
        <w:rPr>
          <w:rFonts w:hint="eastAsia" w:ascii="仿宋_GB2312" w:hAnsi="仿宋_GB2312" w:eastAsia="仿宋_GB2312" w:cs="仿宋_GB2312"/>
          <w:color w:val="000000" w:themeColor="text1"/>
          <w:sz w:val="32"/>
          <w:szCs w:val="32"/>
          <w:lang w:val="en-US" w:eastAsia="zh-CN"/>
        </w:rPr>
        <w:t>提前下达2022年中央财政衔接推进乡村振兴补助资金预算的通知</w:t>
      </w:r>
      <w:r>
        <w:rPr>
          <w:rFonts w:hint="eastAsia" w:ascii="仿宋_GB2312" w:hAnsi="仿宋_GB2312" w:eastAsia="仿宋_GB2312" w:cs="仿宋_GB2312"/>
          <w:color w:val="000000" w:themeColor="text1"/>
          <w:sz w:val="32"/>
          <w:szCs w:val="32"/>
        </w:rPr>
        <w:t>》（塔地财扶［</w:t>
      </w:r>
      <w:r>
        <w:rPr>
          <w:rFonts w:hint="eastAsia" w:ascii="仿宋_GB2312" w:hAnsi="仿宋_GB2312" w:eastAsia="仿宋_GB2312" w:cs="仿宋_GB2312"/>
          <w:color w:val="000000" w:themeColor="text1"/>
          <w:sz w:val="32"/>
          <w:szCs w:val="32"/>
          <w:lang w:eastAsia="zh-CN"/>
        </w:rPr>
        <w:t>202</w:t>
      </w: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14</w:t>
      </w:r>
      <w:r>
        <w:rPr>
          <w:rFonts w:hint="eastAsia" w:ascii="仿宋_GB2312" w:hAnsi="仿宋_GB2312" w:eastAsia="仿宋_GB2312" w:cs="仿宋_GB2312"/>
          <w:color w:val="000000" w:themeColor="text1"/>
          <w:sz w:val="32"/>
          <w:szCs w:val="32"/>
        </w:rPr>
        <w:t>号）</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关于提前下达2022年中央财政衔接推进乡村振兴补助资金预算的通知</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（塔地财</w:t>
      </w:r>
      <w:r>
        <w:rPr>
          <w:rFonts w:hint="eastAsia" w:ascii="仿宋_GB2312" w:hAnsi="仿宋_GB2312" w:eastAsia="仿宋_GB2312" w:cs="仿宋_GB2312"/>
          <w:color w:val="000000" w:themeColor="text1"/>
          <w:sz w:val="32"/>
          <w:szCs w:val="32"/>
          <w:lang w:val="en-US" w:eastAsia="zh-CN"/>
        </w:rPr>
        <w:t>农</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eastAsia="zh-CN"/>
        </w:rPr>
        <w:t>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号）</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下达2022年中央财政衔接推进乡村振兴补助资金250万。</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项目情况</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根据额财农字〔2022〕2号，</w:t>
      </w:r>
      <w:r>
        <w:rPr>
          <w:rFonts w:hint="eastAsia" w:ascii="仿宋_GB2312" w:hAnsi="仿宋_GB2312" w:eastAsia="仿宋_GB2312" w:cs="仿宋_GB2312"/>
          <w:color w:val="000000" w:themeColor="text1"/>
          <w:sz w:val="32"/>
          <w:szCs w:val="32"/>
        </w:rPr>
        <w:t>关于下达2022年中央</w:t>
      </w:r>
      <w:r>
        <w:rPr>
          <w:rFonts w:hint="eastAsia" w:ascii="仿宋_GB2312" w:hAnsi="仿宋_GB2312" w:eastAsia="仿宋_GB2312" w:cs="仿宋_GB2312"/>
          <w:sz w:val="32"/>
          <w:szCs w:val="32"/>
        </w:rPr>
        <w:t>财政衔接推进乡村振兴补助资金预算的通知</w:t>
      </w:r>
      <w:r>
        <w:rPr>
          <w:rFonts w:hint="eastAsia" w:ascii="仿宋_GB2312" w:hAnsi="仿宋_GB2312" w:eastAsia="仿宋_GB2312" w:cs="仿宋_GB2312"/>
          <w:color w:val="000000" w:themeColor="text1"/>
          <w:sz w:val="32"/>
          <w:szCs w:val="32"/>
        </w:rPr>
        <w:t>文件，建设内</w:t>
      </w:r>
      <w:r>
        <w:rPr>
          <w:rFonts w:hint="eastAsia" w:ascii="仿宋_GB2312" w:hAnsi="仿宋_GB2312" w:eastAsia="仿宋_GB2312" w:cs="仿宋_GB2312"/>
          <w:sz w:val="32"/>
          <w:szCs w:val="32"/>
        </w:rPr>
        <w:t>容如下：安装地埋式垃圾箱15个及相关配套设施,垃圾车2辆。</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项目总投资：</w:t>
      </w:r>
      <w:r>
        <w:rPr>
          <w:rFonts w:hint="eastAsia" w:ascii="仿宋_GB2312" w:hAnsi="仿宋_GB2312" w:eastAsia="仿宋_GB2312" w:cs="仿宋_GB2312"/>
          <w:color w:val="000000" w:themeColor="text1"/>
          <w:sz w:val="32"/>
          <w:szCs w:val="32"/>
        </w:rPr>
        <w:t>250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主要建设内容：安装地埋式垃圾箱15个及相关配套设施,车2辆。</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baseline"/>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（二）财政衔接推进乡村振兴补助资金项目绩效目标设定情况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根据我县财政衔接推进乡村振兴补助资金安排，该项目主要对脱贫村基础设施建设项目申报绩效目标。</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项目绩效总体目标设定如下：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目标1：安装地埋式垃圾箱15个及相关配套设施,车2辆。</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目标2：该项目实施后，该项目实施后，改善农村人居环境为牵引，解决效益指标中周边百姓垃圾困扰，</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目标3：项目实施后，受益村贫困户满意度≥90%</w:t>
      </w:r>
    </w:p>
    <w:p>
      <w:pPr>
        <w:pStyle w:val="7"/>
        <w:keepNext w:val="0"/>
        <w:keepLines w:val="0"/>
        <w:pageBreakBefore w:val="0"/>
        <w:widowControl w:val="0"/>
        <w:numPr>
          <w:ilvl w:val="0"/>
          <w:numId w:val="2"/>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具体绩效指标见下表：</w:t>
      </w:r>
    </w:p>
    <w:tbl>
      <w:tblPr>
        <w:tblStyle w:val="8"/>
        <w:tblW w:w="9340" w:type="dxa"/>
        <w:tblInd w:w="91" w:type="dxa"/>
        <w:tblLayout w:type="fixed"/>
        <w:tblCellMar>
          <w:top w:w="0" w:type="dxa"/>
          <w:left w:w="108" w:type="dxa"/>
          <w:bottom w:w="0" w:type="dxa"/>
          <w:right w:w="108" w:type="dxa"/>
        </w:tblCellMar>
      </w:tblPr>
      <w:tblGrid>
        <w:gridCol w:w="847"/>
        <w:gridCol w:w="997"/>
        <w:gridCol w:w="2232"/>
        <w:gridCol w:w="3008"/>
        <w:gridCol w:w="2256"/>
      </w:tblGrid>
      <w:tr>
        <w:tblPrEx>
          <w:tblLayout w:type="fixed"/>
          <w:tblCellMar>
            <w:top w:w="0" w:type="dxa"/>
            <w:left w:w="108" w:type="dxa"/>
            <w:bottom w:w="0" w:type="dxa"/>
            <w:right w:w="108" w:type="dxa"/>
          </w:tblCellMar>
        </w:tblPrEx>
        <w:trPr>
          <w:trHeight w:val="630" w:hRule="atLeast"/>
        </w:trPr>
        <w:tc>
          <w:tcPr>
            <w:tcW w:w="93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48"/>
                <w:szCs w:val="48"/>
              </w:rPr>
            </w:pPr>
            <w:r>
              <w:rPr>
                <w:rFonts w:hint="eastAsia" w:ascii="宋体" w:hAnsi="宋体" w:cs="宋体"/>
                <w:b/>
                <w:bCs/>
                <w:kern w:val="0"/>
                <w:sz w:val="48"/>
                <w:szCs w:val="48"/>
              </w:rPr>
              <w:t>绩效目标申报表</w:t>
            </w:r>
          </w:p>
        </w:tc>
      </w:tr>
      <w:tr>
        <w:tblPrEx>
          <w:tblLayout w:type="fixed"/>
          <w:tblCellMar>
            <w:top w:w="0" w:type="dxa"/>
            <w:left w:w="108" w:type="dxa"/>
            <w:bottom w:w="0" w:type="dxa"/>
            <w:right w:w="108" w:type="dxa"/>
          </w:tblCellMar>
        </w:tblPrEx>
        <w:trPr>
          <w:trHeight w:val="390" w:hRule="atLeast"/>
        </w:trPr>
        <w:tc>
          <w:tcPr>
            <w:tcW w:w="9340" w:type="dxa"/>
            <w:gridSpan w:val="5"/>
            <w:tcBorders>
              <w:top w:val="nil"/>
              <w:left w:val="nil"/>
              <w:bottom w:val="single" w:color="auto" w:sz="4" w:space="0"/>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（2022年度）</w:t>
            </w:r>
          </w:p>
        </w:tc>
      </w:tr>
      <w:tr>
        <w:tblPrEx>
          <w:tblLayout w:type="fixed"/>
          <w:tblCellMar>
            <w:top w:w="0" w:type="dxa"/>
            <w:left w:w="108" w:type="dxa"/>
            <w:bottom w:w="0" w:type="dxa"/>
            <w:right w:w="108" w:type="dxa"/>
          </w:tblCellMar>
        </w:tblPrEx>
        <w:trPr>
          <w:trHeight w:val="960" w:hRule="atLeast"/>
        </w:trPr>
        <w:tc>
          <w:tcPr>
            <w:tcW w:w="1844"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项目名称</w:t>
            </w:r>
          </w:p>
        </w:tc>
        <w:tc>
          <w:tcPr>
            <w:tcW w:w="22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额敏县霍吉尔特蒙古民族乡人居环境整治配套建设</w:t>
            </w:r>
          </w:p>
        </w:tc>
        <w:tc>
          <w:tcPr>
            <w:tcW w:w="3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项目负责人及联系电话</w:t>
            </w:r>
          </w:p>
        </w:tc>
        <w:tc>
          <w:tcPr>
            <w:tcW w:w="22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殷胜18999480850</w:t>
            </w:r>
          </w:p>
        </w:tc>
      </w:tr>
      <w:tr>
        <w:tblPrEx>
          <w:tblLayout w:type="fixed"/>
          <w:tblCellMar>
            <w:top w:w="0" w:type="dxa"/>
            <w:left w:w="108" w:type="dxa"/>
            <w:bottom w:w="0" w:type="dxa"/>
            <w:right w:w="108" w:type="dxa"/>
          </w:tblCellMar>
        </w:tblPrEx>
        <w:trPr>
          <w:trHeight w:val="720" w:hRule="atLeast"/>
        </w:trPr>
        <w:tc>
          <w:tcPr>
            <w:tcW w:w="18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主管部门</w:t>
            </w:r>
          </w:p>
        </w:tc>
        <w:tc>
          <w:tcPr>
            <w:tcW w:w="22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额敏县民族宗教委员会</w:t>
            </w:r>
          </w:p>
        </w:tc>
        <w:tc>
          <w:tcPr>
            <w:tcW w:w="3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实施单位</w:t>
            </w:r>
          </w:p>
        </w:tc>
        <w:tc>
          <w:tcPr>
            <w:tcW w:w="225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额敏县霍吉尔特蒙古民族乡人民政府</w:t>
            </w:r>
          </w:p>
        </w:tc>
      </w:tr>
      <w:tr>
        <w:tblPrEx>
          <w:tblLayout w:type="fixed"/>
          <w:tblCellMar>
            <w:top w:w="0" w:type="dxa"/>
            <w:left w:w="108" w:type="dxa"/>
            <w:bottom w:w="0" w:type="dxa"/>
            <w:right w:w="108" w:type="dxa"/>
          </w:tblCellMar>
        </w:tblPrEx>
        <w:trPr>
          <w:trHeight w:val="420" w:hRule="atLeast"/>
        </w:trPr>
        <w:tc>
          <w:tcPr>
            <w:tcW w:w="184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资金情况</w:t>
            </w:r>
            <w:r>
              <w:rPr>
                <w:rFonts w:hint="eastAsia" w:ascii="宋体" w:hAnsi="宋体" w:cs="宋体"/>
                <w:b/>
                <w:bCs/>
                <w:kern w:val="0"/>
                <w:sz w:val="24"/>
                <w:szCs w:val="24"/>
              </w:rPr>
              <w:br w:type="textWrapping"/>
            </w:r>
            <w:r>
              <w:rPr>
                <w:rFonts w:hint="eastAsia" w:ascii="宋体" w:hAnsi="宋体" w:cs="宋体"/>
                <w:b/>
                <w:bCs/>
                <w:kern w:val="0"/>
                <w:sz w:val="24"/>
                <w:szCs w:val="24"/>
              </w:rPr>
              <w:t>（万元）</w:t>
            </w:r>
          </w:p>
        </w:tc>
        <w:tc>
          <w:tcPr>
            <w:tcW w:w="2232" w:type="dxa"/>
            <w:tcBorders>
              <w:top w:val="nil"/>
              <w:left w:val="nil"/>
              <w:bottom w:val="single" w:color="auto" w:sz="4" w:space="0"/>
              <w:right w:val="single" w:color="auto" w:sz="4" w:space="0"/>
            </w:tcBorders>
            <w:shd w:val="clear" w:color="auto" w:fill="auto"/>
            <w:vAlign w:val="center"/>
          </w:tcPr>
          <w:p>
            <w:pPr>
              <w:widowControl/>
              <w:ind w:firstLine="241" w:firstLineChars="100"/>
              <w:jc w:val="left"/>
              <w:rPr>
                <w:rFonts w:ascii="宋体" w:hAnsi="宋体" w:cs="宋体"/>
                <w:b/>
                <w:bCs/>
                <w:kern w:val="0"/>
                <w:sz w:val="24"/>
                <w:szCs w:val="24"/>
              </w:rPr>
            </w:pPr>
            <w:r>
              <w:rPr>
                <w:rFonts w:hint="eastAsia" w:ascii="宋体" w:hAnsi="宋体" w:cs="宋体"/>
                <w:b/>
                <w:bCs/>
                <w:kern w:val="0"/>
                <w:sz w:val="24"/>
                <w:szCs w:val="24"/>
              </w:rPr>
              <w:t>年度资金总额：</w:t>
            </w:r>
          </w:p>
        </w:tc>
        <w:tc>
          <w:tcPr>
            <w:tcW w:w="526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250</w:t>
            </w:r>
          </w:p>
        </w:tc>
      </w:tr>
      <w:tr>
        <w:tblPrEx>
          <w:tblLayout w:type="fixed"/>
          <w:tblCellMar>
            <w:top w:w="0" w:type="dxa"/>
            <w:left w:w="108" w:type="dxa"/>
            <w:bottom w:w="0" w:type="dxa"/>
            <w:right w:w="108" w:type="dxa"/>
          </w:tblCellMar>
        </w:tblPrEx>
        <w:trPr>
          <w:trHeight w:val="390" w:hRule="atLeast"/>
        </w:trPr>
        <w:tc>
          <w:tcPr>
            <w:tcW w:w="18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2232" w:type="dxa"/>
            <w:tcBorders>
              <w:top w:val="nil"/>
              <w:left w:val="nil"/>
              <w:bottom w:val="single" w:color="auto" w:sz="4" w:space="0"/>
              <w:right w:val="single" w:color="auto" w:sz="4" w:space="0"/>
            </w:tcBorders>
            <w:shd w:val="clear" w:color="auto" w:fill="auto"/>
            <w:vAlign w:val="center"/>
          </w:tcPr>
          <w:p>
            <w:pPr>
              <w:widowControl/>
              <w:ind w:firstLine="241" w:firstLineChars="100"/>
              <w:jc w:val="right"/>
              <w:rPr>
                <w:rFonts w:ascii="宋体" w:hAnsi="宋体" w:cs="宋体"/>
                <w:b/>
                <w:bCs/>
                <w:kern w:val="0"/>
                <w:sz w:val="24"/>
                <w:szCs w:val="24"/>
              </w:rPr>
            </w:pPr>
            <w:r>
              <w:rPr>
                <w:rFonts w:hint="eastAsia" w:ascii="宋体" w:hAnsi="宋体" w:cs="宋体"/>
                <w:b/>
                <w:bCs/>
                <w:kern w:val="0"/>
                <w:sz w:val="24"/>
                <w:szCs w:val="24"/>
              </w:rPr>
              <w:t>其中：财政拨款</w:t>
            </w:r>
          </w:p>
        </w:tc>
        <w:tc>
          <w:tcPr>
            <w:tcW w:w="526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250</w:t>
            </w:r>
          </w:p>
        </w:tc>
      </w:tr>
      <w:tr>
        <w:tblPrEx>
          <w:tblLayout w:type="fixed"/>
          <w:tblCellMar>
            <w:top w:w="0" w:type="dxa"/>
            <w:left w:w="108" w:type="dxa"/>
            <w:bottom w:w="0" w:type="dxa"/>
            <w:right w:w="108" w:type="dxa"/>
          </w:tblCellMar>
        </w:tblPrEx>
        <w:trPr>
          <w:trHeight w:val="375" w:hRule="atLeast"/>
        </w:trPr>
        <w:tc>
          <w:tcPr>
            <w:tcW w:w="18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2232" w:type="dxa"/>
            <w:tcBorders>
              <w:top w:val="nil"/>
              <w:left w:val="nil"/>
              <w:bottom w:val="single" w:color="auto" w:sz="4" w:space="0"/>
              <w:right w:val="single" w:color="auto" w:sz="4" w:space="0"/>
            </w:tcBorders>
            <w:shd w:val="clear" w:color="auto" w:fill="auto"/>
            <w:vAlign w:val="center"/>
          </w:tcPr>
          <w:p>
            <w:pPr>
              <w:widowControl/>
              <w:ind w:firstLine="241" w:firstLineChars="100"/>
              <w:jc w:val="right"/>
              <w:rPr>
                <w:rFonts w:ascii="宋体" w:hAnsi="宋体" w:cs="宋体"/>
                <w:b/>
                <w:bCs/>
                <w:kern w:val="0"/>
                <w:sz w:val="24"/>
                <w:szCs w:val="24"/>
              </w:rPr>
            </w:pPr>
            <w:r>
              <w:rPr>
                <w:rFonts w:hint="eastAsia" w:ascii="宋体" w:hAnsi="宋体" w:cs="宋体"/>
                <w:b/>
                <w:bCs/>
                <w:kern w:val="0"/>
                <w:sz w:val="24"/>
                <w:szCs w:val="24"/>
              </w:rPr>
              <w:t>其他资金</w:t>
            </w:r>
          </w:p>
        </w:tc>
        <w:tc>
          <w:tcPr>
            <w:tcW w:w="526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0</w:t>
            </w:r>
          </w:p>
        </w:tc>
      </w:tr>
      <w:tr>
        <w:tblPrEx>
          <w:tblLayout w:type="fixed"/>
          <w:tblCellMar>
            <w:top w:w="0" w:type="dxa"/>
            <w:left w:w="108" w:type="dxa"/>
            <w:bottom w:w="0" w:type="dxa"/>
            <w:right w:w="108" w:type="dxa"/>
          </w:tblCellMar>
        </w:tblPrEx>
        <w:trPr>
          <w:trHeight w:val="435" w:hRule="atLeast"/>
        </w:trPr>
        <w:tc>
          <w:tcPr>
            <w:tcW w:w="847"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总体目标</w:t>
            </w:r>
          </w:p>
        </w:tc>
        <w:tc>
          <w:tcPr>
            <w:tcW w:w="849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年度目标</w:t>
            </w:r>
          </w:p>
        </w:tc>
      </w:tr>
      <w:tr>
        <w:tblPrEx>
          <w:tblLayout w:type="fixed"/>
          <w:tblCellMar>
            <w:top w:w="0" w:type="dxa"/>
            <w:left w:w="108" w:type="dxa"/>
            <w:bottom w:w="0" w:type="dxa"/>
            <w:right w:w="108" w:type="dxa"/>
          </w:tblCellMar>
        </w:tblPrEx>
        <w:trPr>
          <w:trHeight w:val="1339"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8493" w:type="dxa"/>
            <w:gridSpan w:val="4"/>
            <w:tcBorders>
              <w:top w:val="single" w:color="auto" w:sz="4" w:space="0"/>
              <w:left w:val="nil"/>
              <w:bottom w:val="single" w:color="auto" w:sz="4" w:space="0"/>
              <w:right w:val="single" w:color="000000" w:sz="4" w:space="0"/>
            </w:tcBorders>
            <w:shd w:val="clear" w:color="auto" w:fill="auto"/>
          </w:tcPr>
          <w:p>
            <w:pPr>
              <w:widowControl/>
              <w:ind w:firstLine="240" w:firstLineChars="100"/>
              <w:jc w:val="left"/>
              <w:rPr>
                <w:rFonts w:ascii="宋体" w:hAnsi="宋体" w:cs="宋体"/>
                <w:kern w:val="0"/>
                <w:sz w:val="24"/>
                <w:szCs w:val="24"/>
              </w:rPr>
            </w:pPr>
            <w:r>
              <w:rPr>
                <w:rFonts w:hint="eastAsia" w:ascii="宋体" w:hAnsi="宋体" w:cs="宋体"/>
                <w:kern w:val="0"/>
                <w:sz w:val="24"/>
                <w:szCs w:val="24"/>
              </w:rPr>
              <w:t>计划安装地埋式垃圾箱15个及相关配套设施,采购5180型压缩式垃圾车2辆。该项目实施后，全乡的基础设施更加完善，为打造乡村旅游产业提供了保障。进一步提升群众环保意识。为构建村风文明，促进生态的健康发展奠定基础。</w:t>
            </w:r>
          </w:p>
        </w:tc>
      </w:tr>
      <w:tr>
        <w:tblPrEx>
          <w:tblLayout w:type="fixed"/>
          <w:tblCellMar>
            <w:top w:w="0" w:type="dxa"/>
            <w:left w:w="108" w:type="dxa"/>
            <w:bottom w:w="0" w:type="dxa"/>
            <w:right w:w="108" w:type="dxa"/>
          </w:tblCellMar>
        </w:tblPrEx>
        <w:trPr>
          <w:trHeight w:val="495" w:hRule="atLeast"/>
        </w:trPr>
        <w:tc>
          <w:tcPr>
            <w:tcW w:w="847"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绩效指标</w:t>
            </w:r>
          </w:p>
        </w:tc>
        <w:tc>
          <w:tcPr>
            <w:tcW w:w="99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一级指标</w:t>
            </w:r>
          </w:p>
        </w:tc>
        <w:tc>
          <w:tcPr>
            <w:tcW w:w="22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二级指标</w:t>
            </w:r>
          </w:p>
        </w:tc>
        <w:tc>
          <w:tcPr>
            <w:tcW w:w="30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三级指标</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4"/>
                <w:szCs w:val="24"/>
              </w:rPr>
            </w:pPr>
            <w:r>
              <w:rPr>
                <w:rFonts w:hint="eastAsia" w:ascii="宋体" w:hAnsi="宋体" w:cs="宋体"/>
                <w:b/>
                <w:bCs/>
                <w:kern w:val="0"/>
                <w:sz w:val="24"/>
                <w:szCs w:val="24"/>
              </w:rPr>
              <w:t>指标值</w:t>
            </w:r>
          </w:p>
        </w:tc>
      </w:tr>
      <w:tr>
        <w:tblPrEx>
          <w:tblLayout w:type="fixed"/>
          <w:tblCellMar>
            <w:top w:w="0" w:type="dxa"/>
            <w:left w:w="108" w:type="dxa"/>
            <w:bottom w:w="0" w:type="dxa"/>
            <w:right w:w="108" w:type="dxa"/>
          </w:tblCellMar>
        </w:tblPrEx>
        <w:trPr>
          <w:trHeight w:val="495"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产出指标</w:t>
            </w:r>
          </w:p>
        </w:tc>
        <w:tc>
          <w:tcPr>
            <w:tcW w:w="2232"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数量指标</w:t>
            </w: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人居环境整治个数</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=1个</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安装地埋式垃圾箱</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=15个</w:t>
            </w:r>
          </w:p>
        </w:tc>
      </w:tr>
      <w:tr>
        <w:tblPrEx>
          <w:tblLayout w:type="fixed"/>
          <w:tblCellMar>
            <w:top w:w="0" w:type="dxa"/>
            <w:left w:w="108" w:type="dxa"/>
            <w:bottom w:w="0" w:type="dxa"/>
            <w:right w:w="108" w:type="dxa"/>
          </w:tblCellMar>
        </w:tblPrEx>
        <w:trPr>
          <w:trHeight w:val="58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采购5180型压缩式垃圾车</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=2辆</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质量指标</w:t>
            </w: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质量达标率</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szCs w:val="24"/>
              </w:rPr>
            </w:pP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质量完成率</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时效指标</w:t>
            </w:r>
          </w:p>
        </w:tc>
        <w:tc>
          <w:tcPr>
            <w:tcW w:w="3008" w:type="dxa"/>
            <w:tcBorders>
              <w:top w:val="nil"/>
              <w:left w:val="nil"/>
              <w:bottom w:val="nil"/>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资金拨付率</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szCs w:val="24"/>
              </w:rPr>
            </w:pPr>
          </w:p>
        </w:tc>
        <w:tc>
          <w:tcPr>
            <w:tcW w:w="3008" w:type="dxa"/>
            <w:tcBorders>
              <w:top w:val="single" w:color="auto" w:sz="4" w:space="0"/>
              <w:left w:val="nil"/>
              <w:bottom w:val="nil"/>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开工时限</w:t>
            </w:r>
          </w:p>
        </w:tc>
        <w:tc>
          <w:tcPr>
            <w:tcW w:w="2256" w:type="dxa"/>
            <w:tcBorders>
              <w:top w:val="nil"/>
              <w:left w:val="nil"/>
              <w:bottom w:val="nil"/>
              <w:right w:val="single" w:color="auto" w:sz="4" w:space="0"/>
            </w:tcBorders>
            <w:shd w:val="clear" w:color="000000" w:fill="FFFFFF"/>
            <w:vAlign w:val="center"/>
          </w:tcPr>
          <w:p>
            <w:pPr>
              <w:widowControl/>
              <w:jc w:val="center"/>
              <w:rPr>
                <w:rFonts w:ascii="宋体" w:hAnsi="宋体" w:cs="宋体"/>
                <w:kern w:val="0"/>
                <w:sz w:val="24"/>
                <w:szCs w:val="24"/>
              </w:rPr>
            </w:pPr>
            <w:r>
              <w:rPr>
                <w:rFonts w:hint="eastAsia" w:ascii="宋体" w:hAnsi="宋体" w:cs="宋体"/>
                <w:kern w:val="0"/>
                <w:sz w:val="24"/>
                <w:szCs w:val="24"/>
              </w:rPr>
              <w:t>2022年5月</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szCs w:val="24"/>
              </w:rPr>
            </w:pPr>
          </w:p>
        </w:tc>
        <w:tc>
          <w:tcPr>
            <w:tcW w:w="3008" w:type="dxa"/>
            <w:tcBorders>
              <w:top w:val="single" w:color="auto" w:sz="4" w:space="0"/>
              <w:left w:val="nil"/>
              <w:bottom w:val="nil"/>
              <w:right w:val="single" w:color="auto" w:sz="4" w:space="0"/>
            </w:tcBorders>
            <w:shd w:val="clear" w:color="000000" w:fill="FFFFFF"/>
            <w:vAlign w:val="center"/>
          </w:tcPr>
          <w:p>
            <w:pPr>
              <w:widowControl/>
              <w:jc w:val="left"/>
              <w:rPr>
                <w:rFonts w:ascii="宋体" w:hAnsi="宋体" w:cs="宋体"/>
                <w:kern w:val="0"/>
                <w:sz w:val="24"/>
                <w:szCs w:val="24"/>
              </w:rPr>
            </w:pPr>
            <w:r>
              <w:rPr>
                <w:rFonts w:hint="eastAsia" w:ascii="宋体" w:hAnsi="宋体" w:cs="宋体"/>
                <w:kern w:val="0"/>
                <w:sz w:val="24"/>
                <w:szCs w:val="24"/>
              </w:rPr>
              <w:t>完成时限</w:t>
            </w:r>
          </w:p>
        </w:tc>
        <w:tc>
          <w:tcPr>
            <w:tcW w:w="2256" w:type="dxa"/>
            <w:tcBorders>
              <w:top w:val="single" w:color="auto" w:sz="4" w:space="0"/>
              <w:left w:val="nil"/>
              <w:bottom w:val="nil"/>
              <w:right w:val="single" w:color="auto" w:sz="4" w:space="0"/>
            </w:tcBorders>
            <w:shd w:val="clear" w:color="000000" w:fill="FFFFFF"/>
            <w:vAlign w:val="center"/>
          </w:tcPr>
          <w:p>
            <w:pPr>
              <w:widowControl/>
              <w:jc w:val="center"/>
              <w:rPr>
                <w:rFonts w:ascii="宋体" w:hAnsi="宋体" w:cs="宋体"/>
                <w:kern w:val="0"/>
                <w:sz w:val="24"/>
                <w:szCs w:val="24"/>
              </w:rPr>
            </w:pPr>
            <w:r>
              <w:rPr>
                <w:rFonts w:hint="eastAsia" w:ascii="宋体" w:hAnsi="宋体" w:cs="宋体"/>
                <w:kern w:val="0"/>
                <w:sz w:val="24"/>
                <w:szCs w:val="24"/>
              </w:rPr>
              <w:t>2022年8月</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成本指标</w:t>
            </w:r>
          </w:p>
        </w:tc>
        <w:tc>
          <w:tcPr>
            <w:tcW w:w="300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垃圾车</w:t>
            </w:r>
          </w:p>
        </w:tc>
        <w:tc>
          <w:tcPr>
            <w:tcW w:w="225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≤100万元</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垃圾箱及相关配套设施</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≤150万元</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效益指标</w:t>
            </w:r>
          </w:p>
        </w:tc>
        <w:tc>
          <w:tcPr>
            <w:tcW w:w="223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可持续影响指标</w:t>
            </w: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可持续使用年限</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≥15年</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生态效益</w:t>
            </w: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生活垃圾清运率</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社会效益指标</w:t>
            </w: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脱贫困户受益</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≥500户</w:t>
            </w:r>
          </w:p>
        </w:tc>
      </w:tr>
      <w:tr>
        <w:tblPrEx>
          <w:tblLayout w:type="fixed"/>
          <w:tblCellMar>
            <w:top w:w="0" w:type="dxa"/>
            <w:left w:w="108" w:type="dxa"/>
            <w:bottom w:w="0" w:type="dxa"/>
            <w:right w:w="108" w:type="dxa"/>
          </w:tblCellMar>
        </w:tblPrEx>
        <w:trPr>
          <w:trHeight w:val="462"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4"/>
                <w:szCs w:val="24"/>
              </w:rPr>
            </w:pPr>
          </w:p>
        </w:tc>
        <w:tc>
          <w:tcPr>
            <w:tcW w:w="223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szCs w:val="24"/>
              </w:rPr>
            </w:pP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覆盖村队数</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=10个</w:t>
            </w:r>
          </w:p>
        </w:tc>
      </w:tr>
      <w:tr>
        <w:tblPrEx>
          <w:tblLayout w:type="fixed"/>
          <w:tblCellMar>
            <w:top w:w="0" w:type="dxa"/>
            <w:left w:w="108" w:type="dxa"/>
            <w:bottom w:w="0" w:type="dxa"/>
            <w:right w:w="108" w:type="dxa"/>
          </w:tblCellMar>
        </w:tblPrEx>
        <w:trPr>
          <w:trHeight w:val="679" w:hRule="atLeast"/>
        </w:trPr>
        <w:tc>
          <w:tcPr>
            <w:tcW w:w="8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bCs/>
                <w:kern w:val="0"/>
                <w:sz w:val="24"/>
                <w:szCs w:val="24"/>
              </w:rPr>
            </w:pPr>
          </w:p>
        </w:tc>
        <w:tc>
          <w:tcPr>
            <w:tcW w:w="99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满意度指标</w:t>
            </w:r>
          </w:p>
        </w:tc>
        <w:tc>
          <w:tcPr>
            <w:tcW w:w="22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服务对象满意度指标</w:t>
            </w:r>
          </w:p>
        </w:tc>
        <w:tc>
          <w:tcPr>
            <w:tcW w:w="300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szCs w:val="24"/>
              </w:rPr>
            </w:pPr>
            <w:r>
              <w:rPr>
                <w:rFonts w:hint="eastAsia" w:ascii="宋体" w:hAnsi="宋体" w:cs="宋体"/>
                <w:kern w:val="0"/>
                <w:sz w:val="24"/>
                <w:szCs w:val="24"/>
              </w:rPr>
              <w:t>受益群众满意度</w:t>
            </w:r>
          </w:p>
        </w:tc>
        <w:tc>
          <w:tcPr>
            <w:tcW w:w="22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szCs w:val="24"/>
              </w:rPr>
            </w:pPr>
            <w:r>
              <w:rPr>
                <w:rFonts w:hint="eastAsia" w:ascii="宋体" w:hAnsi="宋体" w:cs="宋体"/>
                <w:kern w:val="0"/>
                <w:sz w:val="24"/>
                <w:szCs w:val="24"/>
              </w:rPr>
              <w:t>≥90%</w:t>
            </w:r>
          </w:p>
        </w:tc>
      </w:tr>
    </w:tbl>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二</w:t>
      </w:r>
      <w:r>
        <w:rPr>
          <w:rFonts w:hint="eastAsia" w:ascii="仿宋_GB2312" w:hAnsi="仿宋_GB2312" w:eastAsia="仿宋_GB2312" w:cs="仿宋_GB2312"/>
          <w:b/>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w:t>
      </w:r>
      <w:r>
        <w:rPr>
          <w:rFonts w:hint="eastAsia" w:ascii="仿宋_GB2312" w:hAnsi="仿宋_GB2312" w:eastAsia="仿宋_GB2312" w:cs="仿宋_GB2312"/>
          <w:color w:val="000000" w:themeColor="text1"/>
          <w:sz w:val="32"/>
          <w:szCs w:val="32"/>
        </w:rPr>
        <w:t>250万元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themeColor="text1"/>
          <w:sz w:val="32"/>
          <w:szCs w:val="32"/>
        </w:rPr>
      </w:pPr>
      <w:r>
        <w:rPr>
          <w:rFonts w:hint="eastAsia" w:ascii="仿宋_GB2312" w:hAnsi="仿宋_GB2312" w:eastAsia="仿宋_GB2312" w:cs="仿宋_GB2312"/>
          <w:b/>
          <w:color w:val="000000" w:themeColor="text1"/>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根据《中共中央国务院关于全面实施预算绩效管理的意见》（中发〔2018〕34号）；《项目支出绩效评价管理办法》（财预〔2020〕10号）；《自治区党委自治区人民政府关于全面实施预算绩效管理的实施意见》（新党发〔2018〕30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color w:val="000000" w:themeColor="text1"/>
          <w:sz w:val="32"/>
          <w:szCs w:val="32"/>
        </w:rPr>
        <w:t>《2023年度推进塔城地区全面实施预算绩效管理工作规划》等文件精神，及《新疆维吾尔自治区县级扶贫项目资金绩效管理操作指南（试行）》，对本</w:t>
      </w:r>
      <w:r>
        <w:rPr>
          <w:rFonts w:hint="eastAsia" w:ascii="仿宋_GB2312" w:hAnsi="仿宋_GB2312" w:eastAsia="仿宋_GB2312" w:cs="仿宋_GB2312"/>
          <w:bCs/>
          <w:sz w:val="32"/>
          <w:szCs w:val="32"/>
        </w:rPr>
        <w:t>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7"/>
        <w:spacing w:line="360" w:lineRule="auto"/>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15</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1、前期准备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2、组织过程</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3、分析评价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本项目全部预算资金万元，实际到位</w:t>
      </w:r>
      <w:r>
        <w:rPr>
          <w:rFonts w:hint="eastAsia" w:ascii="仿宋_GB2312" w:hAnsi="仿宋_GB2312" w:eastAsia="仿宋_GB2312" w:cs="仿宋_GB2312"/>
          <w:color w:val="000000" w:themeColor="text1"/>
          <w:sz w:val="32"/>
          <w:szCs w:val="32"/>
        </w:rPr>
        <w:t>250万</w:t>
      </w:r>
      <w:r>
        <w:rPr>
          <w:rFonts w:hint="eastAsia" w:ascii="仿宋_GB2312" w:hAnsi="仿宋_GB2312" w:eastAsia="仿宋_GB2312" w:cs="仿宋_GB2312"/>
          <w:sz w:val="32"/>
          <w:szCs w:val="32"/>
        </w:rPr>
        <w:t>元，全部为中央财政衔接推进乡村振兴补助资金，资金</w:t>
      </w:r>
      <w:r>
        <w:rPr>
          <w:rFonts w:hint="eastAsia" w:ascii="仿宋_GB2312" w:hAnsi="仿宋_GB2312" w:eastAsia="仿宋_GB2312" w:cs="仿宋_GB2312"/>
          <w:bCs/>
          <w:sz w:val="32"/>
          <w:szCs w:val="32"/>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2.项目资金执行情况分析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本项目全部预算资金250万元，全年执行数250万元，资金执行率100%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通过项目的实施，达到改善脱贫户的居住环境的目标，助力了脱贫攻坚。</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截止2022年12月31日，已经支付250万元，项目按照计划正常实行，实际安装地埋式垃圾箱15个及相关配套设施,垃圾车2辆。该项目实施后，改善农村人居环境为牵引，解决效益指标中周边百姓垃圾困扰，农牧民满意度达90%，该项目严格按照计划实施，并有效保障了绩效自评工作的顺利开展。</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本项目共设置一级指标3个，二级指标8个，三级指标14个，其中已完成三级指标14个，指标完成率为100%。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（1）数量指标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人居环境整治个数：</w:t>
      </w:r>
      <w:r>
        <w:rPr>
          <w:rFonts w:hint="eastAsia" w:ascii="仿宋_GB2312" w:hAnsi="仿宋_GB2312" w:eastAsia="仿宋_GB2312" w:cs="仿宋_GB2312"/>
          <w:bCs/>
          <w:sz w:val="32"/>
          <w:szCs w:val="32"/>
        </w:rPr>
        <w:t>年度指标值：1个 ，实际完成值1个，指标完成率100%；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安装地埋式垃圾箱：年度指标值：15个 ，实际完成值15个，指标完成率100%；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采购5180型压缩式垃圾车：年度指标值：2辆。实际指标值：2辆，实际完成值2辆，指标完成率100%；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（2）质量指标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质量达标率：年度指标值100%，全年实际值100%。指标完成率100%；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质量完成率：年度指标值100%，全年实际值100%。指标完成率100%；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在计划期限内完成验收，验收结果评定为合格，并且已经投入使用，助力乡村振兴。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（3）时效指标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开工时率：年度指标值100%，全年实际值100%。</w:t>
      </w:r>
      <w:r>
        <w:rPr>
          <w:rFonts w:hint="eastAsia" w:ascii="仿宋_GB2312" w:hAnsi="仿宋_GB2312" w:eastAsia="仿宋_GB2312" w:cs="仿宋_GB2312"/>
          <w:bCs/>
          <w:sz w:val="32"/>
          <w:szCs w:val="32"/>
        </w:rPr>
        <w:t>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完成时率：年度指标值100%，全年实际值100%。</w:t>
      </w:r>
      <w:r>
        <w:rPr>
          <w:rFonts w:hint="eastAsia" w:ascii="仿宋_GB2312" w:hAnsi="仿宋_GB2312" w:eastAsia="仿宋_GB2312" w:cs="仿宋_GB2312"/>
          <w:bCs/>
          <w:sz w:val="32"/>
          <w:szCs w:val="32"/>
        </w:rPr>
        <w:t>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（4）成本指标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Cs/>
          <w:sz w:val="32"/>
          <w:szCs w:val="32"/>
        </w:rPr>
        <w:t>垃圾箱及相关配套设施</w:t>
      </w:r>
      <w:r>
        <w:rPr>
          <w:rFonts w:hint="eastAsia" w:ascii="仿宋_GB2312" w:hAnsi="仿宋_GB2312" w:eastAsia="仿宋_GB2312" w:cs="仿宋_GB2312"/>
          <w:color w:val="000000"/>
          <w:sz w:val="32"/>
          <w:szCs w:val="32"/>
        </w:rPr>
        <w:t>:年度指标值≤150万元，全年实际完成指标值150万元；</w:t>
      </w:r>
      <w:r>
        <w:rPr>
          <w:rFonts w:hint="eastAsia" w:ascii="仿宋_GB2312" w:hAnsi="仿宋_GB2312" w:eastAsia="仿宋_GB2312" w:cs="仿宋_GB2312"/>
          <w:bCs/>
          <w:sz w:val="32"/>
          <w:szCs w:val="32"/>
        </w:rPr>
        <w:t>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垃圾车:年度指标值≤100万元，全年实际完成指标值100万元；</w:t>
      </w:r>
      <w:r>
        <w:rPr>
          <w:rFonts w:hint="eastAsia" w:ascii="仿宋_GB2312" w:hAnsi="仿宋_GB2312" w:eastAsia="仿宋_GB2312" w:cs="仿宋_GB2312"/>
          <w:bCs/>
          <w:sz w:val="32"/>
          <w:szCs w:val="32"/>
        </w:rPr>
        <w:t>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2.效益指标完成情况分析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（1）生态效益指标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color w:val="000000"/>
          <w:sz w:val="32"/>
          <w:szCs w:val="32"/>
        </w:rPr>
        <w:t>生活垃圾清运率：年度指标100%，全年实际值100%，</w:t>
      </w:r>
      <w:r>
        <w:rPr>
          <w:rFonts w:hint="eastAsia" w:ascii="仿宋_GB2312" w:hAnsi="仿宋_GB2312" w:eastAsia="仿宋_GB2312" w:cs="仿宋_GB2312"/>
          <w:bCs/>
          <w:sz w:val="32"/>
          <w:szCs w:val="32"/>
        </w:rPr>
        <w:t>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（2）社会效益指标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脱贫困户受益：年度指标值500户，全年实际值500户，</w:t>
      </w:r>
      <w:r>
        <w:rPr>
          <w:rFonts w:hint="eastAsia" w:ascii="仿宋_GB2312" w:hAnsi="仿宋_GB2312" w:eastAsia="仿宋_GB2312" w:cs="仿宋_GB2312"/>
          <w:bCs/>
          <w:sz w:val="32"/>
          <w:szCs w:val="32"/>
        </w:rPr>
        <w:t>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覆盖村队数：年度指标值10个，全年实际值10个，</w:t>
      </w:r>
      <w:r>
        <w:rPr>
          <w:rFonts w:hint="eastAsia" w:ascii="仿宋_GB2312" w:hAnsi="仿宋_GB2312" w:eastAsia="仿宋_GB2312" w:cs="仿宋_GB2312"/>
          <w:bCs/>
          <w:sz w:val="32"/>
          <w:szCs w:val="32"/>
        </w:rPr>
        <w:t>指标完成率100%；</w:t>
      </w:r>
    </w:p>
    <w:p>
      <w:pPr>
        <w:pStyle w:val="7"/>
        <w:keepNext w:val="0"/>
        <w:keepLines w:val="0"/>
        <w:pageBreakBefore w:val="0"/>
        <w:widowControl w:val="0"/>
        <w:tabs>
          <w:tab w:val="right" w:pos="8306"/>
        </w:tabs>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（2）可持续影响指标</w:t>
      </w:r>
      <w:r>
        <w:rPr>
          <w:rFonts w:hint="eastAsia" w:ascii="仿宋_GB2312" w:hAnsi="仿宋_GB2312" w:eastAsia="仿宋_GB2312" w:cs="仿宋_GB2312"/>
          <w:color w:val="000000"/>
          <w:sz w:val="32"/>
          <w:szCs w:val="32"/>
        </w:rPr>
        <w:tab/>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项目实施影响时限：年度指标值≥15年，全年实际值15年。</w:t>
      </w:r>
      <w:r>
        <w:rPr>
          <w:rFonts w:hint="eastAsia" w:ascii="仿宋_GB2312" w:hAnsi="仿宋_GB2312" w:eastAsia="仿宋_GB2312" w:cs="仿宋_GB2312"/>
          <w:bCs/>
          <w:sz w:val="32"/>
          <w:szCs w:val="32"/>
        </w:rPr>
        <w:t>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3.满意度指标完成情况分析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受益人口满意度：年度指标值≥90%，经统计，全年实际值等于90%。</w:t>
      </w:r>
      <w:r>
        <w:rPr>
          <w:rFonts w:hint="eastAsia" w:ascii="仿宋_GB2312" w:hAnsi="仿宋_GB2312" w:eastAsia="仿宋_GB2312" w:cs="仿宋_GB2312"/>
          <w:bCs/>
          <w:sz w:val="32"/>
          <w:szCs w:val="32"/>
        </w:rPr>
        <w:t>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、偏离绩效目标的原因和下一步改进措施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sz w:val="32"/>
          <w:szCs w:val="32"/>
        </w:rPr>
        <w:t>无</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本项目按照预期内完成项目建设及资金补助，已经保障了群众周边卫生，改善居住环境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在今后的补助项目当中对设计目标要提高设计标准，优化、细化方案，对各项指标和指标值的设定要进一步优化、完善。  </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今后对基础设施建设补助项目进行跟踪管理，做好抽查巡查机制，以便使补助资金的发放发挥更大的效益。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五、绩效自评结果拟应用和公开情况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经综合评价，本项目实施达成预期指标，资金使用、管理、保障到位，严格执行</w:t>
      </w:r>
      <w:r>
        <w:rPr>
          <w:rFonts w:hint="eastAsia" w:ascii="仿宋_GB2312" w:hAnsi="仿宋_GB2312" w:eastAsia="仿宋_GB2312" w:cs="仿宋_GB2312"/>
          <w:bCs/>
          <w:sz w:val="32"/>
          <w:szCs w:val="32"/>
        </w:rPr>
        <w:t>《中央财政衔接推进乡村振兴补助资金管理办法》</w:t>
      </w:r>
      <w:r>
        <w:rPr>
          <w:rFonts w:hint="eastAsia" w:ascii="仿宋_GB2312" w:hAnsi="仿宋_GB2312" w:eastAsia="仿宋_GB2312" w:cs="仿宋_GB2312"/>
          <w:iCs/>
          <w:sz w:val="32"/>
          <w:szCs w:val="32"/>
        </w:rPr>
        <w:t>，能按照实施方案执行项目管理，达到周边环境的提升，改善了群众的居住环境的目标，助力了乡村振兴。</w:t>
      </w:r>
      <w:r>
        <w:rPr>
          <w:rFonts w:hint="eastAsia" w:ascii="仿宋_GB2312" w:hAnsi="仿宋_GB2312" w:eastAsia="仿宋_GB2312" w:cs="仿宋_GB2312"/>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本项目，综合自评得分为100分。</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本项目绩效自评报告将按照规定要求，通过门户网站或张榜公示等方式向社会公开，接受社会监督。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9</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FBF8D"/>
    <w:multiLevelType w:val="singleLevel"/>
    <w:tmpl w:val="882FBF8D"/>
    <w:lvl w:ilvl="0" w:tentative="0">
      <w:start w:val="2"/>
      <w:numFmt w:val="decimal"/>
      <w:lvlText w:val="%1."/>
      <w:lvlJc w:val="left"/>
      <w:pPr>
        <w:tabs>
          <w:tab w:val="left" w:pos="312"/>
        </w:tabs>
      </w:pPr>
    </w:lvl>
  </w:abstractNum>
  <w:abstractNum w:abstractNumId="1">
    <w:nsid w:val="350730C2"/>
    <w:multiLevelType w:val="singleLevel"/>
    <w:tmpl w:val="350730C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kNGRiOGJhMTY3MzI2YmMxYjJmOGYyNjBmZjFmZGQifQ=="/>
    <w:docVar w:name="KSO_WPS_MARK_KEY" w:val="cc90900d-22ff-4d28-88eb-75c87d0ea992"/>
  </w:docVars>
  <w:rsids>
    <w:rsidRoot w:val="00172A27"/>
    <w:rsid w:val="00002504"/>
    <w:rsid w:val="000635A2"/>
    <w:rsid w:val="0007097B"/>
    <w:rsid w:val="00076C79"/>
    <w:rsid w:val="000A5A76"/>
    <w:rsid w:val="000C322D"/>
    <w:rsid w:val="000D439B"/>
    <w:rsid w:val="000E59AC"/>
    <w:rsid w:val="00101E48"/>
    <w:rsid w:val="001157CD"/>
    <w:rsid w:val="001510A9"/>
    <w:rsid w:val="00164B84"/>
    <w:rsid w:val="00172A27"/>
    <w:rsid w:val="001866F7"/>
    <w:rsid w:val="001C04CF"/>
    <w:rsid w:val="001D316D"/>
    <w:rsid w:val="001D6869"/>
    <w:rsid w:val="001E307F"/>
    <w:rsid w:val="001E7FF6"/>
    <w:rsid w:val="001F1A6C"/>
    <w:rsid w:val="002431FF"/>
    <w:rsid w:val="00244CE7"/>
    <w:rsid w:val="00262BB2"/>
    <w:rsid w:val="002B12DE"/>
    <w:rsid w:val="002B6039"/>
    <w:rsid w:val="002E6EE1"/>
    <w:rsid w:val="003140D8"/>
    <w:rsid w:val="0031466F"/>
    <w:rsid w:val="00350956"/>
    <w:rsid w:val="00362FEA"/>
    <w:rsid w:val="003A15F4"/>
    <w:rsid w:val="004041FF"/>
    <w:rsid w:val="004167C2"/>
    <w:rsid w:val="00425639"/>
    <w:rsid w:val="0045728C"/>
    <w:rsid w:val="004611E5"/>
    <w:rsid w:val="00477BED"/>
    <w:rsid w:val="00481536"/>
    <w:rsid w:val="004A3CCC"/>
    <w:rsid w:val="004B718E"/>
    <w:rsid w:val="004D5AD8"/>
    <w:rsid w:val="004D6788"/>
    <w:rsid w:val="00504210"/>
    <w:rsid w:val="00525C9E"/>
    <w:rsid w:val="00531CF5"/>
    <w:rsid w:val="00564F9E"/>
    <w:rsid w:val="0057435B"/>
    <w:rsid w:val="00590CF1"/>
    <w:rsid w:val="005A460E"/>
    <w:rsid w:val="005B2ED5"/>
    <w:rsid w:val="005C3F39"/>
    <w:rsid w:val="005E6AC9"/>
    <w:rsid w:val="00607882"/>
    <w:rsid w:val="00622812"/>
    <w:rsid w:val="0062756A"/>
    <w:rsid w:val="00632633"/>
    <w:rsid w:val="00637041"/>
    <w:rsid w:val="00673E8D"/>
    <w:rsid w:val="00687AB4"/>
    <w:rsid w:val="00691762"/>
    <w:rsid w:val="006B7D94"/>
    <w:rsid w:val="006E2ADE"/>
    <w:rsid w:val="006F0EF4"/>
    <w:rsid w:val="006F7C4C"/>
    <w:rsid w:val="00720B35"/>
    <w:rsid w:val="007577AB"/>
    <w:rsid w:val="00773F9C"/>
    <w:rsid w:val="0077493A"/>
    <w:rsid w:val="00797E86"/>
    <w:rsid w:val="007E27EC"/>
    <w:rsid w:val="007E5247"/>
    <w:rsid w:val="007E5B8D"/>
    <w:rsid w:val="007F6575"/>
    <w:rsid w:val="008142E8"/>
    <w:rsid w:val="00815172"/>
    <w:rsid w:val="0082407E"/>
    <w:rsid w:val="00844DAC"/>
    <w:rsid w:val="0084710D"/>
    <w:rsid w:val="0085105A"/>
    <w:rsid w:val="0085754A"/>
    <w:rsid w:val="00866CCE"/>
    <w:rsid w:val="008A56A2"/>
    <w:rsid w:val="008C17FA"/>
    <w:rsid w:val="008E2DE1"/>
    <w:rsid w:val="00900505"/>
    <w:rsid w:val="009355FA"/>
    <w:rsid w:val="0096053C"/>
    <w:rsid w:val="00977750"/>
    <w:rsid w:val="009778BB"/>
    <w:rsid w:val="00980784"/>
    <w:rsid w:val="0098475C"/>
    <w:rsid w:val="009867F1"/>
    <w:rsid w:val="009B148D"/>
    <w:rsid w:val="009B3393"/>
    <w:rsid w:val="009F314D"/>
    <w:rsid w:val="009F753E"/>
    <w:rsid w:val="00A03DF1"/>
    <w:rsid w:val="00A17134"/>
    <w:rsid w:val="00A533A3"/>
    <w:rsid w:val="00A801EE"/>
    <w:rsid w:val="00AA766F"/>
    <w:rsid w:val="00AB72EF"/>
    <w:rsid w:val="00AB7982"/>
    <w:rsid w:val="00B02131"/>
    <w:rsid w:val="00B133B4"/>
    <w:rsid w:val="00B31775"/>
    <w:rsid w:val="00B7041E"/>
    <w:rsid w:val="00B73CAC"/>
    <w:rsid w:val="00B85DDB"/>
    <w:rsid w:val="00BA2783"/>
    <w:rsid w:val="00BB675A"/>
    <w:rsid w:val="00BC3C01"/>
    <w:rsid w:val="00BD30BB"/>
    <w:rsid w:val="00C111A9"/>
    <w:rsid w:val="00C169DE"/>
    <w:rsid w:val="00C57DE3"/>
    <w:rsid w:val="00C64C9A"/>
    <w:rsid w:val="00C869CB"/>
    <w:rsid w:val="00C9484E"/>
    <w:rsid w:val="00CA3978"/>
    <w:rsid w:val="00CA4236"/>
    <w:rsid w:val="00D01F00"/>
    <w:rsid w:val="00D0350C"/>
    <w:rsid w:val="00D0710E"/>
    <w:rsid w:val="00D3237E"/>
    <w:rsid w:val="00D423C7"/>
    <w:rsid w:val="00D62509"/>
    <w:rsid w:val="00D7602C"/>
    <w:rsid w:val="00D91433"/>
    <w:rsid w:val="00D9581A"/>
    <w:rsid w:val="00DA0168"/>
    <w:rsid w:val="00E03900"/>
    <w:rsid w:val="00E11135"/>
    <w:rsid w:val="00E1166D"/>
    <w:rsid w:val="00E1433F"/>
    <w:rsid w:val="00E36AAD"/>
    <w:rsid w:val="00E94F02"/>
    <w:rsid w:val="00EA3B19"/>
    <w:rsid w:val="00EA65B9"/>
    <w:rsid w:val="00EC26DC"/>
    <w:rsid w:val="00EE57E9"/>
    <w:rsid w:val="00F33CD7"/>
    <w:rsid w:val="00F76C6F"/>
    <w:rsid w:val="00FB1E09"/>
    <w:rsid w:val="00FB6A90"/>
    <w:rsid w:val="00FB6DDD"/>
    <w:rsid w:val="00FE5DD3"/>
    <w:rsid w:val="013F1246"/>
    <w:rsid w:val="01484C81"/>
    <w:rsid w:val="01B82838"/>
    <w:rsid w:val="04D836D0"/>
    <w:rsid w:val="04DE101D"/>
    <w:rsid w:val="05213F70"/>
    <w:rsid w:val="05356534"/>
    <w:rsid w:val="062866AB"/>
    <w:rsid w:val="068A151F"/>
    <w:rsid w:val="06FF227F"/>
    <w:rsid w:val="0775008D"/>
    <w:rsid w:val="07DD21AF"/>
    <w:rsid w:val="0811193C"/>
    <w:rsid w:val="085F5D7F"/>
    <w:rsid w:val="08A8436F"/>
    <w:rsid w:val="08C933D8"/>
    <w:rsid w:val="093259F3"/>
    <w:rsid w:val="09913E17"/>
    <w:rsid w:val="0A375730"/>
    <w:rsid w:val="0B530AC9"/>
    <w:rsid w:val="0B804FD7"/>
    <w:rsid w:val="0C293915"/>
    <w:rsid w:val="0F40581B"/>
    <w:rsid w:val="10345B46"/>
    <w:rsid w:val="10C671FB"/>
    <w:rsid w:val="10C937A4"/>
    <w:rsid w:val="10E93E90"/>
    <w:rsid w:val="11826F8A"/>
    <w:rsid w:val="126F7391"/>
    <w:rsid w:val="12900B58"/>
    <w:rsid w:val="130D64A2"/>
    <w:rsid w:val="147C1B29"/>
    <w:rsid w:val="149B7734"/>
    <w:rsid w:val="167C17F1"/>
    <w:rsid w:val="16AC4E5E"/>
    <w:rsid w:val="16DE521B"/>
    <w:rsid w:val="17C35302"/>
    <w:rsid w:val="17F413C1"/>
    <w:rsid w:val="180343EB"/>
    <w:rsid w:val="1870263E"/>
    <w:rsid w:val="18835A91"/>
    <w:rsid w:val="18CC1D22"/>
    <w:rsid w:val="1E700C52"/>
    <w:rsid w:val="1F203647"/>
    <w:rsid w:val="20CC311F"/>
    <w:rsid w:val="21A31C30"/>
    <w:rsid w:val="231A3433"/>
    <w:rsid w:val="234174BA"/>
    <w:rsid w:val="2397375D"/>
    <w:rsid w:val="245A462F"/>
    <w:rsid w:val="247C0DC3"/>
    <w:rsid w:val="24CC7E8F"/>
    <w:rsid w:val="2558727E"/>
    <w:rsid w:val="25E237FF"/>
    <w:rsid w:val="26D75013"/>
    <w:rsid w:val="273E292C"/>
    <w:rsid w:val="2766466B"/>
    <w:rsid w:val="27851253"/>
    <w:rsid w:val="27FC1492"/>
    <w:rsid w:val="28C234B9"/>
    <w:rsid w:val="29074326"/>
    <w:rsid w:val="29A44584"/>
    <w:rsid w:val="2A0A292C"/>
    <w:rsid w:val="2A2C02EA"/>
    <w:rsid w:val="2A636B36"/>
    <w:rsid w:val="2AF6579E"/>
    <w:rsid w:val="2B424747"/>
    <w:rsid w:val="2C2A56DC"/>
    <w:rsid w:val="2D992BED"/>
    <w:rsid w:val="2F4E3FEE"/>
    <w:rsid w:val="2FFA732F"/>
    <w:rsid w:val="30FD5D6F"/>
    <w:rsid w:val="31E969EE"/>
    <w:rsid w:val="32611749"/>
    <w:rsid w:val="32FC739D"/>
    <w:rsid w:val="3373180F"/>
    <w:rsid w:val="34E7513E"/>
    <w:rsid w:val="35623DE4"/>
    <w:rsid w:val="35723D4D"/>
    <w:rsid w:val="35B45C86"/>
    <w:rsid w:val="360B3381"/>
    <w:rsid w:val="3679623C"/>
    <w:rsid w:val="36FC0C18"/>
    <w:rsid w:val="374544A5"/>
    <w:rsid w:val="3765282F"/>
    <w:rsid w:val="37966E9D"/>
    <w:rsid w:val="38B811F7"/>
    <w:rsid w:val="38F961F6"/>
    <w:rsid w:val="399C2EE0"/>
    <w:rsid w:val="39B95BC6"/>
    <w:rsid w:val="3A4F7E7B"/>
    <w:rsid w:val="3A644887"/>
    <w:rsid w:val="3B6411D4"/>
    <w:rsid w:val="3CB939B5"/>
    <w:rsid w:val="3D185B36"/>
    <w:rsid w:val="3FAD443E"/>
    <w:rsid w:val="40284A51"/>
    <w:rsid w:val="411671AB"/>
    <w:rsid w:val="41615490"/>
    <w:rsid w:val="41B3224E"/>
    <w:rsid w:val="42635443"/>
    <w:rsid w:val="42881B73"/>
    <w:rsid w:val="42C41CE4"/>
    <w:rsid w:val="42EC6A00"/>
    <w:rsid w:val="43637430"/>
    <w:rsid w:val="43964C28"/>
    <w:rsid w:val="43D752E4"/>
    <w:rsid w:val="44123161"/>
    <w:rsid w:val="44667EE3"/>
    <w:rsid w:val="46736836"/>
    <w:rsid w:val="46A462C3"/>
    <w:rsid w:val="48A10D2F"/>
    <w:rsid w:val="491F544A"/>
    <w:rsid w:val="49574742"/>
    <w:rsid w:val="4B652BCD"/>
    <w:rsid w:val="4BF34932"/>
    <w:rsid w:val="4CE332BC"/>
    <w:rsid w:val="4D7F4921"/>
    <w:rsid w:val="4D8F554E"/>
    <w:rsid w:val="4F0423DC"/>
    <w:rsid w:val="4F41037F"/>
    <w:rsid w:val="4FBC5B56"/>
    <w:rsid w:val="4FBF090F"/>
    <w:rsid w:val="50F92314"/>
    <w:rsid w:val="529C3F04"/>
    <w:rsid w:val="52B80B48"/>
    <w:rsid w:val="546D5D37"/>
    <w:rsid w:val="54F92511"/>
    <w:rsid w:val="550106AB"/>
    <w:rsid w:val="59385552"/>
    <w:rsid w:val="593C1E34"/>
    <w:rsid w:val="5A5844D1"/>
    <w:rsid w:val="5B127569"/>
    <w:rsid w:val="5B8337A3"/>
    <w:rsid w:val="5B9655EE"/>
    <w:rsid w:val="5CA066E2"/>
    <w:rsid w:val="5DA35E7E"/>
    <w:rsid w:val="5E517D5D"/>
    <w:rsid w:val="5F0A38BC"/>
    <w:rsid w:val="5F860125"/>
    <w:rsid w:val="60565B67"/>
    <w:rsid w:val="6068521B"/>
    <w:rsid w:val="60B66CB8"/>
    <w:rsid w:val="61F17DCD"/>
    <w:rsid w:val="639C4549"/>
    <w:rsid w:val="651B358E"/>
    <w:rsid w:val="651F3ADB"/>
    <w:rsid w:val="65246B24"/>
    <w:rsid w:val="663D1E8A"/>
    <w:rsid w:val="66E519D9"/>
    <w:rsid w:val="67421AB3"/>
    <w:rsid w:val="674F2C34"/>
    <w:rsid w:val="67921C85"/>
    <w:rsid w:val="67A105D0"/>
    <w:rsid w:val="67D14C1C"/>
    <w:rsid w:val="67E53C8C"/>
    <w:rsid w:val="68A439CF"/>
    <w:rsid w:val="68B32F0E"/>
    <w:rsid w:val="6A282B5D"/>
    <w:rsid w:val="6A893829"/>
    <w:rsid w:val="6B566370"/>
    <w:rsid w:val="6BBF57BF"/>
    <w:rsid w:val="6BDD0871"/>
    <w:rsid w:val="6DFD7E2A"/>
    <w:rsid w:val="6E1D4216"/>
    <w:rsid w:val="6E656CE4"/>
    <w:rsid w:val="6EE2762C"/>
    <w:rsid w:val="6F563FF7"/>
    <w:rsid w:val="6FC17085"/>
    <w:rsid w:val="6FDB2D58"/>
    <w:rsid w:val="7116043B"/>
    <w:rsid w:val="73011C04"/>
    <w:rsid w:val="73AB4B6D"/>
    <w:rsid w:val="76DB2C18"/>
    <w:rsid w:val="77012BAA"/>
    <w:rsid w:val="77240AD1"/>
    <w:rsid w:val="77B50195"/>
    <w:rsid w:val="77FB44DB"/>
    <w:rsid w:val="78351175"/>
    <w:rsid w:val="784F295E"/>
    <w:rsid w:val="79582BCA"/>
    <w:rsid w:val="79AE5E4E"/>
    <w:rsid w:val="7A616B9A"/>
    <w:rsid w:val="7B89572E"/>
    <w:rsid w:val="7B9D3BE0"/>
    <w:rsid w:val="7CE97A31"/>
    <w:rsid w:val="7E152483"/>
    <w:rsid w:val="7FE14E5A"/>
    <w:rsid w:val="7FF743A7"/>
    <w:rsid w:val="7FFB3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2"/>
    <w:unhideWhenUsed/>
    <w:qFormat/>
    <w:uiPriority w:val="99"/>
    <w:pPr>
      <w:snapToGrid w:val="0"/>
      <w:jc w:val="left"/>
    </w:pPr>
    <w:rPr>
      <w:rFonts w:cs="Times New Roman"/>
      <w:sz w:val="18"/>
      <w:szCs w:val="18"/>
    </w:rPr>
  </w:style>
  <w:style w:type="character" w:styleId="10">
    <w:name w:val="Strong"/>
    <w:qFormat/>
    <w:uiPriority w:val="0"/>
    <w:rPr>
      <w:rFonts w:cs="Times New Roman"/>
      <w:b/>
      <w:bCs/>
    </w:rPr>
  </w:style>
  <w:style w:type="character" w:styleId="11">
    <w:name w:val="annotation reference"/>
    <w:basedOn w:val="9"/>
    <w:unhideWhenUsed/>
    <w:qFormat/>
    <w:uiPriority w:val="99"/>
    <w:rPr>
      <w:sz w:val="21"/>
      <w:szCs w:val="21"/>
    </w:rPr>
  </w:style>
  <w:style w:type="character" w:customStyle="1" w:styleId="12">
    <w:name w:val="脚注文本 Char"/>
    <w:basedOn w:val="9"/>
    <w:link w:val="7"/>
    <w:qFormat/>
    <w:uiPriority w:val="99"/>
    <w:rPr>
      <w:rFonts w:ascii="Calibri" w:hAnsi="Calibri" w:eastAsia="宋体" w:cs="Times New Roman"/>
      <w:sz w:val="18"/>
      <w:szCs w:val="18"/>
    </w:rPr>
  </w:style>
  <w:style w:type="character" w:customStyle="1" w:styleId="13">
    <w:name w:val="批注框文本 Char"/>
    <w:basedOn w:val="9"/>
    <w:link w:val="4"/>
    <w:semiHidden/>
    <w:qFormat/>
    <w:uiPriority w:val="99"/>
    <w:rPr>
      <w:kern w:val="2"/>
      <w:sz w:val="18"/>
      <w:szCs w:val="18"/>
    </w:rPr>
  </w:style>
  <w:style w:type="character" w:customStyle="1" w:styleId="14">
    <w:name w:val="页眉 Char"/>
    <w:basedOn w:val="9"/>
    <w:link w:val="6"/>
    <w:qFormat/>
    <w:uiPriority w:val="99"/>
    <w:rPr>
      <w:rFonts w:ascii="Calibri" w:hAnsi="Calibri" w:eastAsia="宋体" w:cs="黑体"/>
      <w:kern w:val="2"/>
      <w:sz w:val="18"/>
      <w:szCs w:val="18"/>
    </w:rPr>
  </w:style>
  <w:style w:type="character" w:customStyle="1" w:styleId="15">
    <w:name w:val="页脚 Char"/>
    <w:basedOn w:val="9"/>
    <w:link w:val="5"/>
    <w:qFormat/>
    <w:uiPriority w:val="99"/>
    <w:rPr>
      <w:rFonts w:ascii="Calibri" w:hAnsi="Calibri" w:eastAsia="宋体" w:cs="黑体"/>
      <w:kern w:val="2"/>
      <w:sz w:val="18"/>
      <w:szCs w:val="18"/>
    </w:rPr>
  </w:style>
  <w:style w:type="character" w:customStyle="1" w:styleId="16">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9</Pages>
  <Words>546</Words>
  <Characters>3117</Characters>
  <Lines>25</Lines>
  <Paragraphs>7</Paragraphs>
  <TotalTime>1</TotalTime>
  <ScaleCrop>false</ScaleCrop>
  <LinksUpToDate>false</LinksUpToDate>
  <CharactersWithSpaces>3656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2023-03-12T07:02:00Z</dcterms:created>
  <dc:creator>zhangyanping</dc:creator>
  <cp:lastModifiedBy>Administrator</cp:lastModifiedBy>
  <cp:lastPrinted>2019-11-29T11:32:00Z</cp:lastPrinted>
  <dcterms:modified xsi:type="dcterms:W3CDTF">2023-02-10T04:24:31Z</dcterms:modified>
  <dc:title>塔城市阿不都拉乡2021年财政专项扶贫资金绩效自评总结报告</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24BCDAAF10B146FD809FDFE27C77D7D5</vt:lpwstr>
  </property>
</Properties>
</file>