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int="eastAsia" w:hAnsi="宋体" w:eastAsia="仿宋_GB2312" w:cs="宋体"/>
          <w:kern w:val="0"/>
          <w:sz w:val="36"/>
          <w:szCs w:val="36"/>
          <w:lang w:val="en-US" w:eastAsia="zh-CN"/>
        </w:rPr>
      </w:pPr>
      <w:r>
        <w:rPr>
          <w:rFonts w:hint="eastAsia" w:hAnsi="宋体" w:eastAsia="仿宋_GB2312" w:cs="宋体"/>
          <w:kern w:val="0"/>
          <w:sz w:val="36"/>
          <w:szCs w:val="36"/>
        </w:rPr>
        <w:t xml:space="preserve">（   </w:t>
      </w:r>
      <w:r>
        <w:rPr>
          <w:rStyle w:val="18"/>
          <w:rFonts w:hint="eastAsia" w:ascii="楷体" w:hAnsi="楷体" w:eastAsia="楷体"/>
          <w:spacing w:val="-4"/>
          <w:sz w:val="32"/>
          <w:szCs w:val="32"/>
        </w:rPr>
        <w:t>2022</w:t>
      </w:r>
      <w:r>
        <w:rPr>
          <w:rFonts w:hint="eastAsia" w:hAnsi="宋体" w:eastAsia="仿宋_GB2312" w:cs="宋体"/>
          <w:kern w:val="0"/>
          <w:sz w:val="36"/>
          <w:szCs w:val="36"/>
        </w:rPr>
        <w:t xml:space="preserve">  年度）</w:t>
      </w:r>
      <w:r>
        <w:rPr>
          <w:rFonts w:hint="eastAsia" w:hAnsi="宋体" w:eastAsia="仿宋_GB2312" w:cs="宋体"/>
          <w:kern w:val="0"/>
          <w:sz w:val="36"/>
          <w:szCs w:val="36"/>
          <w:lang w:val="en-US" w:eastAsia="zh-CN"/>
        </w:rPr>
        <w:t xml:space="preserve"> </w:t>
      </w:r>
      <w:bookmarkStart w:id="0" w:name="_GoBack"/>
      <w:bookmarkEnd w:id="0"/>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塔地财教【2022】26号2022年中央补助地方共公共文化服务体系建设补助资金</w:t>
      </w:r>
    </w:p>
    <w:p>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额敏县电影发行放映服务中心</w:t>
      </w:r>
    </w:p>
    <w:p>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额敏县电影发行放映服务中心</w:t>
      </w:r>
    </w:p>
    <w:p>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王宇鹏</w:t>
      </w:r>
    </w:p>
    <w:p>
      <w:pPr>
        <w:spacing w:line="540" w:lineRule="exact"/>
        <w:ind w:left="273" w:firstLine="567"/>
        <w:rPr>
          <w:rStyle w:val="18"/>
          <w:rFonts w:ascii="楷体" w:hAnsi="楷体" w:eastAsia="楷体"/>
          <w:spacing w:val="-4"/>
          <w:sz w:val="32"/>
          <w:szCs w:val="32"/>
        </w:rPr>
      </w:pPr>
      <w:r>
        <w:rPr>
          <w:rFonts w:hint="eastAsia" w:hAnsi="宋体" w:eastAsia="仿宋_GB2312" w:cs="宋体"/>
          <w:kern w:val="0"/>
          <w:sz w:val="36"/>
          <w:szCs w:val="36"/>
        </w:rPr>
        <w:t>填报时间：</w:t>
      </w:r>
      <w:r>
        <w:rPr>
          <w:rStyle w:val="18"/>
          <w:rFonts w:hint="eastAsia" w:ascii="楷体" w:hAnsi="楷体" w:eastAsia="楷体"/>
          <w:spacing w:val="-4"/>
          <w:sz w:val="32"/>
          <w:szCs w:val="32"/>
        </w:rPr>
        <w:t>2023年02月15日</w:t>
      </w:r>
    </w:p>
    <w:p>
      <w:pPr>
        <w:spacing w:line="700" w:lineRule="exact"/>
        <w:ind w:firstLine="708" w:firstLineChars="236"/>
        <w:jc w:val="left"/>
        <w:rPr>
          <w:rFonts w:hAnsi="宋体" w:eastAsia="仿宋_GB2312" w:cs="宋体"/>
          <w:kern w:val="0"/>
          <w:sz w:val="30"/>
          <w:szCs w:val="30"/>
        </w:rPr>
      </w:pPr>
    </w:p>
    <w:p>
      <w:pPr>
        <w:spacing w:line="540" w:lineRule="exact"/>
        <w:rPr>
          <w:rStyle w:val="18"/>
          <w:rFonts w:ascii="黑体" w:hAnsi="黑体" w:eastAsia="黑体"/>
          <w:b w:val="0"/>
          <w:spacing w:val="-4"/>
          <w:sz w:val="32"/>
          <w:szCs w:val="32"/>
        </w:rPr>
      </w:pP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一、基本情况</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（一）项目概况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1、项目背景</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农村电影公益放映是指由政府采购，在县级以下农村开展的，面向广大农牧民群众的数字电影放映和胶片电影放映活动。农村电影放映有利于丰富群众文化生活，提高群众生活幸福指数。为繁荣我县文化娱乐市场，丰富人民群众业余文化生活起到了十分重要的作用，推动了我县农村电影的进一步发展。 依据：“中央补助地方公共文化服务体系建设专项资金管理暂行办法”。</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2、主要内容及实施情况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 xml:space="preserve">今年我们始终以年初与各位放映员签订的放映目标责任书为依据，检查衡量各放映员的放映速度，放映质量和其他任务落实完成情况，适时进行工作点评，提出存在问题的，寻求解决办法，把放映工作重点和放映片目内容的挑选放在县委、县政府的中心工作上。为我县以新农村为主的各项社会建设营造了较好的宣传氛围。解决农村群众看电影难的问题，满足群众的文化需求，农村公益电影放映服务质量进一步提高，更好地满足了群众观影需求。不断加强硬件建设，推动农村公 益电影放映逐步从流动转为固定，较好的完成了1668场次的放映任务。 </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3、资金投入和使用情况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资金投入情况：该项目年初预算数37.36万元，全年预算数37.36万元，实际总投入37.36万元，该项目资金已全部落实到位。</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 xml:space="preserve">资金使用情况：该项目年初预算数37.36万元，全年预算数37.36万元，全年执行数25.45万元，预算执行率为68.12%，用于繁荣和丰富各族城乡居民的业余文化生活 ,新疆农村公益电影放映场次任务达1668场次2：按时上缴地区折旧费、下载费及放映费 3：完成对放映车辆运行及维护费 目标4：支付电影放映人员工资及保险 </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（二）项目绩效目标</w:t>
      </w:r>
    </w:p>
    <w:p>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1、总体目标：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 xml:space="preserve">今年我们始终以年初与各位放映员签订的放映目标责任书为依据，检查衡量各放映员的放映速度，放映质量和其他任务落实完成情况，适时进行工作点评，提出存在问题的，寻求解决办法，把放映工作重点和放映片目内容的挑选放在县委、县政府的中心工作上。为我县以新农村为主的各项社会建设营造了较好的宣传氛围。解决农村群众看电影难的问题，满足群众的文化需求，农村公益电影放映服务质量进一步提高，更 好地满足了群众观影需求。不断加强硬件建设，推动农村公 益电影放映逐步从流动转为固定，较好的完成了1668场次的放映任务。 </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 xml:space="preserve">3、阶段性目标： </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搞好全年电影放映工作，人的因素是第一位的。我们始终抓住放映人员政治思想教育工作不放松，不断建立健全各项管理制度措施，在落实上出狠招下功夫，提升了放映人员的工作责任心、自信心和荣誉感，用心去为人民服务。我们做了以下几点：</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加强教育，实行政治思想和业务技能双考核。把思想合不合格，工作敬业不敬业作为能否聘任的标准。思想进步，工作热情，积极性高的人员，哪怕是技能不太熟练，也可以通过后来的培训学习得以提高。我们本着这一理念，把能吃苦耐劳，爱岗敬业，热爱电影放映的优秀人才引入放映员队伍，为确保高质量圆满完成全年电影放映任务奠定了良</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好的人才基础。</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2、开展培训，努力提升放映人员的放映水平和实际能力。开展经常性的放映技能培训，让有经验的老放映员介绍如何及时发现放映设备故障的方法，使放映员各个都能独当一面，人人都能成为技术能手。</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二、落实放映目标到人，围绕中心工作开展放映工作，保障放映质量，使人民群众满意。</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今年我们始终以年初与各位放映员签订的放映目标责任书为依据，检查衡量各放映员的放映速度，放映质量和其他任务落实完成情况，适时进行工作点评，提出存在问题的，寻求解决办法，把放映工作重点和放映片目内容的挑选放在县委、县政府的中心工作上。为我县以新农村为主的各项社会建设营造了较好的宣传氛围</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二、绩效评价工作开展情况</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（一）绩效评价目的、对象和范围</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（一）绩效评价目的、对象和范围</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1.评价目的</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本项工作旨在落实《中共中央 国务院关于全面实施预算绩效管理的意见》（中发〔2018〕34号）文件精神，全面推进预算绩效管理工作，落实预算执行及绩效管理主体责任。具体而言包括以下两点：（1）通过对项目设立的背景、意义、项目内容、项目现状及绩效目标、资金投入、资金管理、组织实施、数量指标、质量指标、时效指标、成本指标和效益指标等进行深入调研和分析，进一步了解财政委托审计费项目实施情况，并考察项目实施过程和效果。（2）通过评价，客观公正反映项目立项科学性、项目管理规范性、项目实施有效性和项目效果，总结项目实施的经验，发现项目实施过程中存在的问题，提出合理化建议，为完善项目管理和相关部门决策提供参考依据，并提高财政资金使用效益。</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 xml:space="preserve">2、绩效评价对象 </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塔地财教【2022】26号2022年中央补助地方共公共文化服务体系建设补助资金</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3、绩效评价范围</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本次评价从项目决策（包括绩效目标、决策过程）、项目管理（包括项目资金、项目实施）、项目产出（包括项目产出数量、产出质量、产出时效和产出成本）项目效益四个维度进行 塔地财教【2022】26号2022年中央补助地方共公共文化服务体系建设补助资金项目评价，评价核心为专项资金的支出完成情况和效果。</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（二）绩效评价原则、评价指标体系、评价方法、评价标准</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（二）绩效评价原则、指标体系、方法及标准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1.评价原则</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（1）科学规范原则：绩效评价应当严格执行规定的程序，按照科学可行的要求，采用定量与定性分析相结合的方法。</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（2）公正公开原则：绩效评价应当符合真实、客观、公正的要求，依法公开并接受监督。</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（3）分级分类原则：根据评价对象特点分类组织实施。</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（4）绩效相关原则：绩效评价应当针对具体支出及其产出绩效进行，评价结果应当清晰反映支出和产出绩效之间的紧密对应关系。</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2.评价指标体系</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次绩效评价指标体系是根据《项目支出绩效评价管理办法》（财预〔2020〕10号）对于指标体系的要求和规范，结合项目特有属性和实际情况，考虑实用性、可操作性和可实现性，从决策、过程、产出、效益四个维度进行指标细化和分值设定。塔地财教【2022】26号2022年中央补助地方共公共文化服务体系建设补助资金项目支出绩效评价指标体系(详见附件3)：</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3.评价方法</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按照《项目支出绩效评价管理办法》（财预〔2020〕10号）规定的具体评价方法和流程，评价小组运用定量和定性分析相结合的方法，综合运用比较法、因素分析法、成本效益法、公众评判等方法进行项目实施的绩效评价。</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4.评价标准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绩效评价标准主要包括计划标准、行业标准、历史标准等，用于对绩效指标完成情况进行比较。</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（1）计划标准。指以预先制定的目标、计划、预算、定额等作为评价标准。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（2）行业标准。指参照国家公布的行业指标数据制定的评价标准。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（3）历史标准。指参照历史数据制定的评价标准，为体现绩效改进的原则，在可实现的条件下应当确定相对较高的评价标准。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在上述评价标准的基础上，本次评价依据以下文件为重要指导和准绳：</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·《中共中央国务院关于全面实施预算绩效管理的意见》（中发〔2018〕34号）；</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·《项目支出绩效评价管理办法》（财预〔2020〕10号）；</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·《自治区党委自治区人民政府关于全面实施预算绩效管理的实施意见》（新党发〔2018〕30号）；</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·《2023年度推进塔城地区全面实施预算绩效管理工作规划》。</w:t>
      </w:r>
    </w:p>
    <w:p>
      <w:pPr>
        <w:spacing w:line="540" w:lineRule="exact"/>
        <w:ind w:firstLine="567" w:firstLineChars="181"/>
        <w:rPr>
          <w:rStyle w:val="18"/>
          <w:rFonts w:hint="eastAsia" w:ascii="楷体" w:hAnsi="楷体" w:eastAsia="楷体"/>
          <w:spacing w:val="-4"/>
          <w:sz w:val="32"/>
          <w:szCs w:val="32"/>
        </w:rPr>
      </w:pPr>
      <w:r>
        <w:rPr>
          <w:rStyle w:val="18"/>
          <w:rFonts w:hint="eastAsia" w:ascii="楷体" w:hAnsi="楷体" w:eastAsia="楷体"/>
          <w:spacing w:val="-4"/>
          <w:sz w:val="32"/>
          <w:szCs w:val="32"/>
        </w:rPr>
        <w:t>（三）绩效评价工作过程</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评级小组根据项目绩效目标，查阅有关佐证资料，结合现场抽样调查及延伸评价等方式开展此次评价，重点关注和评价项目预算和绩效目标的匹配情况、项目资金的管理和使用情况、项目实施和监督情况（包括但不限于项目立项、制度执行、质量达标、完成时效等）以及项目产生的实际效益等。具体而言，通过前期准备、材料审核分析、现场核查评价、综合分析评价及报告撰写，评价项目实施情况，展现资金使用效益。</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三、综合评价情况及评价结论</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结合项目特点，制定符合项目实际的绩效评价指标体系及评分标准，通过数据采集、问卷调查及访谈等形式，对2022年塔地财教【2022】26号2022年中央补助地方共公共文化服务体系建设补助资金进行客观评价。</w:t>
      </w:r>
    </w:p>
    <w:p>
      <w:pPr>
        <w:spacing w:line="540" w:lineRule="exact"/>
        <w:ind w:firstLine="640"/>
        <w:rPr>
          <w:rStyle w:val="18"/>
          <w:rFonts w:ascii="黑体" w:hAnsi="黑体" w:eastAsia="黑体"/>
        </w:rPr>
      </w:pPr>
      <w:r>
        <w:rPr>
          <w:rStyle w:val="18"/>
          <w:rFonts w:hint="eastAsia" w:ascii="黑体" w:hAnsi="黑体" w:eastAsia="黑体"/>
          <w:b w:val="0"/>
          <w:spacing w:val="-4"/>
          <w:sz w:val="32"/>
          <w:szCs w:val="32"/>
        </w:rPr>
        <w:t>四、绩效评价指标分析</w:t>
      </w:r>
      <w:r>
        <w:rPr>
          <w:rStyle w:val="18"/>
          <w:rFonts w:hint="eastAsia" w:ascii="黑体" w:hAnsi="黑体" w:eastAsia="黑体"/>
        </w:rPr>
        <w:t xml:space="preserve"> </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w:t>
      </w:r>
      <w:r>
        <w:rPr>
          <w:rStyle w:val="18"/>
          <w:rFonts w:hint="eastAsia" w:ascii="楷体" w:hAnsi="楷体" w:eastAsia="楷体"/>
          <w:spacing w:val="-4"/>
          <w:sz w:val="32"/>
          <w:szCs w:val="32"/>
        </w:rPr>
        <w:t>项目决策情况</w:t>
      </w:r>
    </w:p>
    <w:p>
      <w:pPr>
        <w:tabs>
          <w:tab w:val="center" w:pos="4295"/>
        </w:tabs>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1.立项依据充分性：项目立项符合国家法律法规、国民经济发展规划和相关政策,项目立项符合行业发展规划和政策要求,项目立项与部门职责范围相符，属于部门履职所需,项目属于公共财政支持范围，符合中央、地方事权支出责任划分原则,项目与相关部门同类项目或部门内部相关项目重复。</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2.立项程序规范性:项目按照规定的程序申请设立,审批文件、材料符合相关要求,事前已经过必要的可行性研究、专家论证、风险评估、绩效评估、集体决策。</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3.绩效目标合理性:项目有绩效目标,项目绩效目标与实际工作内容具有相关性,项目预期产出效益和效果符合正常的业绩水平,与预算确定的项目投资额或资金量相匹配。</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4.绩效指标明确性:将项目绩效目标细化分解为具体的绩效指标,通过清晰、可衡量的指标值予以体现,与项目目标任务数或计划数相对应。</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5.预算编制科学性:预算编制经过科学论证,预算内容与项目内容匹配,预算额度测算依据充分，按照标准编制,预算确定的项目投资额或资金量与工作任务相匹配。</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6.资金分配合理性:预算资金分配依据充分,资金分配额度合理，与项目单位或地方实际相适应。</w:t>
      </w:r>
      <w:r>
        <w:rPr>
          <w:rStyle w:val="18"/>
          <w:rFonts w:hint="eastAsia" w:ascii="楷体" w:hAnsi="楷体" w:eastAsia="楷体"/>
          <w:b w:val="0"/>
          <w:bCs w:val="0"/>
          <w:spacing w:val="-4"/>
          <w:sz w:val="32"/>
          <w:szCs w:val="32"/>
          <w:lang w:eastAsia="zh-CN"/>
        </w:rPr>
        <w:tab/>
      </w:r>
    </w:p>
    <w:p>
      <w:pPr>
        <w:spacing w:line="540" w:lineRule="exact"/>
        <w:ind w:firstLine="567" w:firstLineChars="181"/>
        <w:rPr>
          <w:rStyle w:val="18"/>
          <w:rFonts w:hint="eastAsia" w:ascii="楷体" w:hAnsi="楷体" w:eastAsia="楷体"/>
          <w:b/>
          <w:spacing w:val="-4"/>
          <w:sz w:val="32"/>
          <w:szCs w:val="32"/>
        </w:rPr>
      </w:pPr>
      <w:r>
        <w:rPr>
          <w:rFonts w:hint="eastAsia" w:ascii="楷体" w:hAnsi="楷体" w:eastAsia="楷体"/>
          <w:b/>
          <w:spacing w:val="-4"/>
          <w:sz w:val="32"/>
          <w:szCs w:val="32"/>
        </w:rPr>
        <w:t>（</w:t>
      </w:r>
      <w:r>
        <w:rPr>
          <w:rFonts w:hint="eastAsia" w:ascii="楷体" w:hAnsi="楷体" w:eastAsia="楷体"/>
          <w:b/>
          <w:spacing w:val="-4"/>
          <w:sz w:val="32"/>
          <w:szCs w:val="32"/>
          <w:lang w:val="en-US" w:eastAsia="zh-CN"/>
        </w:rPr>
        <w:t>二</w:t>
      </w:r>
      <w:r>
        <w:rPr>
          <w:rFonts w:hint="eastAsia" w:ascii="楷体" w:hAnsi="楷体" w:eastAsia="楷体"/>
          <w:b/>
          <w:spacing w:val="-4"/>
          <w:sz w:val="32"/>
          <w:szCs w:val="32"/>
        </w:rPr>
        <w:t>）</w:t>
      </w:r>
      <w:r>
        <w:rPr>
          <w:rStyle w:val="18"/>
          <w:rFonts w:hint="eastAsia" w:ascii="楷体" w:hAnsi="楷体" w:eastAsia="楷体"/>
          <w:spacing w:val="-4"/>
          <w:sz w:val="32"/>
          <w:szCs w:val="32"/>
        </w:rPr>
        <w:t>项目过程情况</w:t>
      </w:r>
    </w:p>
    <w:p>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1.资金到位率： 实际到位资金37.36万元，预算资金37.36万元，资金到位率100%。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2.预算执行率：年初预算数37.36万元，全年预算数37.36万元，全年执行数25.45万元，预算执行率为68.12%。</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资金使用合规性：本项目资金的使用符合国家财经法规和财务管理制度以及有关专项资金管理办法的规定。同时，资金的拨付有完整的审批程序和手续，符合项目预算批复或合同规定的用途，不存在截留、挤占、挪用、虚列支出等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4.管理制度健全性：额敏县电影发行放映服务中心已制定相应的财务和业务管理制度，且制度合法、合规、完整，为项目顺利实施提供重要保障。</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制度执行有效性：根据现场调研和资料抽查情况，塔城地区公共图书馆免费开放专项已制严格遵守相关法律法规和相关管理规定，项目调整及支出调整手续完备，整体管理合理有序，项目完成后，及时将会计凭证、固定资产入库单等相关资料分类归档，制度执行有效。</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w:t>
      </w:r>
      <w:r>
        <w:rPr>
          <w:rFonts w:hint="eastAsia" w:ascii="楷体" w:hAnsi="楷体" w:eastAsia="楷体"/>
          <w:b/>
          <w:spacing w:val="-4"/>
          <w:sz w:val="32"/>
          <w:szCs w:val="32"/>
          <w:lang w:val="en-US" w:eastAsia="zh-CN"/>
        </w:rPr>
        <w:t>三</w:t>
      </w:r>
      <w:r>
        <w:rPr>
          <w:rFonts w:hint="eastAsia" w:ascii="楷体" w:hAnsi="楷体" w:eastAsia="楷体"/>
          <w:b/>
          <w:spacing w:val="-4"/>
          <w:sz w:val="32"/>
          <w:szCs w:val="32"/>
        </w:rPr>
        <w:t>）</w:t>
      </w:r>
      <w:r>
        <w:rPr>
          <w:rStyle w:val="18"/>
          <w:rFonts w:hint="eastAsia" w:ascii="楷体" w:hAnsi="楷体" w:eastAsia="楷体"/>
          <w:spacing w:val="-4"/>
          <w:sz w:val="32"/>
          <w:szCs w:val="32"/>
        </w:rPr>
        <w:t>项目产出情况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1.产出数量</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数量指标：指标1：放电影场次 ，指标值：1668场次 ，实际完成值 1668场次，指标完成率100 %。</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指标2：放映员人数 ，指标值：6人 ，实际完成值 6人   ，指标完成率100 %.</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2.产出质量</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质量指标：指标1：电影播放覆盖率 ，指标值：100% ，实际完成值 100% ，指标完成率100 %；</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质量指标：指标2：电影播放质量合格率 ，指标值：100% ，实际完成值 100% ，指标完成率100 %。</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3.产出时效</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时效指标：指标1：资金拨付及时率 ，指标值：100%，实际完成值100%，指标完成率100 %。</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4.产出成本</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成本指标：指标1：放映车燃油费及维修费 ，指标值：0.8万元  ，实际完成值1.3万元，指标完成率100%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 xml:space="preserve">指标2：放映设备折旧下载费，指标值：6.6万元 ，实际完成值6.4万元 ，指标完成率96.97 %，偏差原因：折旧及下载费由点去按电影片子在确定  </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指标3：设备配件及车辆保险，指标值：2.5万元 ，实际完成值1.46万元 ，指标完成率58.4 %，偏差原因：因疫情两个月未播放电影，导致申请闭环式资金缓慢 没能及时拨付资金；</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指标4：放映员补助及保险，指标值：27.5万元 ，实际完成值16.29万元 ，指标完成率59.24%，偏差原因：因疫情两个月未播放电影，导致申请闭环式资金缓慢、没能及时拨付资金；</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w:t>
      </w:r>
      <w:r>
        <w:rPr>
          <w:rFonts w:hint="eastAsia" w:ascii="楷体" w:hAnsi="楷体" w:eastAsia="楷体"/>
          <w:b/>
          <w:spacing w:val="-4"/>
          <w:sz w:val="32"/>
          <w:szCs w:val="32"/>
          <w:lang w:val="en-US" w:eastAsia="zh-CN"/>
        </w:rPr>
        <w:t>四</w:t>
      </w:r>
      <w:r>
        <w:rPr>
          <w:rFonts w:hint="eastAsia" w:ascii="楷体" w:hAnsi="楷体" w:eastAsia="楷体"/>
          <w:b/>
          <w:spacing w:val="-4"/>
          <w:sz w:val="32"/>
          <w:szCs w:val="32"/>
        </w:rPr>
        <w:t>）</w:t>
      </w:r>
      <w:r>
        <w:rPr>
          <w:rStyle w:val="18"/>
          <w:rFonts w:hint="eastAsia" w:ascii="楷体" w:hAnsi="楷体" w:eastAsia="楷体"/>
          <w:spacing w:val="-4"/>
          <w:sz w:val="32"/>
          <w:szCs w:val="32"/>
        </w:rPr>
        <w:t>项目效益情况</w:t>
      </w:r>
    </w:p>
    <w:p>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（1）实施效益</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社会效益指标：评价指标提高农牧民获得感和幸福感，指标值：有效提高，实际完成值：达成年度指标。有效提高农牧民获得感和幸福感</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可持续影响指标：评价指标“设备使用年限”，指标值：5年，实际完成值：达成年度指标。设备使用年限5年。</w:t>
      </w:r>
    </w:p>
    <w:p>
      <w:pPr>
        <w:spacing w:line="540" w:lineRule="exact"/>
        <w:ind w:firstLine="567"/>
        <w:rPr>
          <w:rStyle w:val="18"/>
          <w:rFonts w:hint="eastAsia" w:ascii="楷体" w:hAnsi="楷体" w:eastAsia="楷体"/>
          <w:spacing w:val="-4"/>
          <w:sz w:val="32"/>
          <w:szCs w:val="32"/>
        </w:rPr>
      </w:pP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五、预算执行进度与绩效指标偏差</w:t>
      </w:r>
    </w:p>
    <w:p>
      <w:pPr>
        <w:spacing w:line="540" w:lineRule="exact"/>
        <w:ind w:firstLine="567"/>
        <w:rPr>
          <w:rStyle w:val="18"/>
          <w:rFonts w:hint="eastAsia" w:ascii="楷体" w:hAnsi="楷体" w:eastAsia="楷体"/>
          <w:spacing w:val="-4"/>
          <w:sz w:val="32"/>
          <w:szCs w:val="32"/>
        </w:rPr>
      </w:pPr>
      <w:r>
        <w:rPr>
          <w:rStyle w:val="18"/>
          <w:rFonts w:hint="eastAsia" w:ascii="楷体" w:hAnsi="楷体" w:eastAsia="楷体"/>
          <w:b w:val="0"/>
          <w:bCs w:val="0"/>
          <w:spacing w:val="-4"/>
          <w:sz w:val="32"/>
          <w:szCs w:val="32"/>
        </w:rPr>
        <w:t>本项目预算执行率为68.12%，指标总体完成率为92.88%，二者之间的偏差值为24.76%。偏差原因：因疫情两个月未播放电影，导致申请闭环式资金缓慢 没能及时拨付资金；采取措施：放映任务已完成，积极要和地区申请闭环式资金，争取资金尽快到位，办理支付。</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六、主要经验及做法、存在的问题及原因分析</w:t>
      </w:r>
    </w:p>
    <w:p>
      <w:pPr>
        <w:spacing w:line="540" w:lineRule="exact"/>
        <w:ind w:firstLine="567"/>
        <w:rPr>
          <w:rFonts w:ascii="仿宋_GB2312" w:eastAsia="仿宋_GB2312"/>
          <w:spacing w:val="-4"/>
          <w:sz w:val="32"/>
          <w:szCs w:val="32"/>
        </w:rPr>
      </w:pPr>
      <w:r>
        <w:rPr>
          <w:rStyle w:val="18"/>
          <w:rFonts w:hint="eastAsia" w:ascii="楷体" w:hAnsi="楷体" w:eastAsia="楷体"/>
          <w:b w:val="0"/>
          <w:bCs w:val="0"/>
          <w:spacing w:val="-4"/>
          <w:sz w:val="32"/>
          <w:szCs w:val="32"/>
        </w:rPr>
        <w:t>（一）主要经验及做法</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 xml:space="preserve">依据：“中央补助地方公共文化服务体系建设专项资金管理暂行办法”今年我们始终以年初与各位放映员签订的放映目标责任书为依据，检查衡量各放映员的放映速度，放映质量和其他任务落实完成情况，适时进行工作点评，提出存在问题的，寻求解决办法，把放映工作重点和放映片目内容的挑选放在县委、县政府的中心工作上。为我县以新农村为主的各项社会建设营造了较好的宣传氛围。解决农村群众看电影难的问题，满足群众的文化需求，农村公益电影放映服务质量进一步提高，更好地满足了群众观影需求。不断加强硬件建设，推动农村公 益电影放映逐步从流动转为固定，较好的完成了1668场次的放映任务。 </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（二）存在的问题及原因分析</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1.因疫情两个月未播放电影，导致申请闭环式资金缓慢 没能及时拨付资金；采取措施：放映任务已完成，积极要和地区申请闭环式资金，争取资金尽快到位，办理支付。</w:t>
      </w:r>
    </w:p>
    <w:p>
      <w:p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lang w:val="en-US" w:eastAsia="zh-CN"/>
        </w:rPr>
        <w:t>七</w:t>
      </w:r>
      <w:r>
        <w:rPr>
          <w:rStyle w:val="18"/>
          <w:rFonts w:hint="eastAsia" w:ascii="黑体" w:hAnsi="黑体" w:eastAsia="黑体"/>
          <w:b w:val="0"/>
          <w:spacing w:val="-4"/>
          <w:sz w:val="32"/>
          <w:szCs w:val="32"/>
        </w:rPr>
        <w:t>、有关建议</w:t>
      </w:r>
    </w:p>
    <w:p>
      <w:pPr>
        <w:spacing w:line="540" w:lineRule="exact"/>
        <w:ind w:firstLine="567"/>
        <w:rPr>
          <w:rStyle w:val="18"/>
          <w:rFonts w:hint="eastAsia" w:ascii="楷体" w:hAnsi="楷体" w:eastAsia="楷体"/>
          <w:spacing w:val="-4"/>
          <w:sz w:val="32"/>
          <w:szCs w:val="32"/>
        </w:rPr>
      </w:pPr>
      <w:r>
        <w:rPr>
          <w:rStyle w:val="18"/>
          <w:rFonts w:hint="eastAsia" w:ascii="楷体" w:hAnsi="楷体" w:eastAsia="楷体"/>
          <w:b w:val="0"/>
          <w:bCs w:val="0"/>
          <w:spacing w:val="-4"/>
          <w:sz w:val="32"/>
          <w:szCs w:val="32"/>
        </w:rPr>
        <w:t>1.项目支出政策和路径设计科学，符合实际需要；</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2.项目安排准确，未发现背离项目立项初衷的情况；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3.项目的申报、审核机制完善；</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4.未发现虚假行为和骗取财政资金的问题。</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八</w:t>
      </w:r>
      <w:r>
        <w:rPr>
          <w:rStyle w:val="18"/>
          <w:rFonts w:hint="eastAsia" w:ascii="黑体" w:hAnsi="黑体" w:eastAsia="黑体"/>
          <w:b w:val="0"/>
          <w:spacing w:val="-4"/>
          <w:sz w:val="32"/>
          <w:szCs w:val="32"/>
        </w:rPr>
        <w:t>、其他需要说明的问题</w:t>
      </w:r>
    </w:p>
    <w:p>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无</w:t>
      </w: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altName w:val="宋体"/>
    <w:panose1 w:val="02010600040101010101"/>
    <w:charset w:val="86"/>
    <w:family w:val="auto"/>
    <w:pitch w:val="default"/>
    <w:sig w:usb0="00000000" w:usb1="00000000" w:usb2="00000000" w:usb3="00000000" w:csb0="0004009F" w:csb1="DFD70000"/>
  </w:font>
  <w:font w:name="方正小标宋_GBK">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docPartObj>
        <w:docPartGallery w:val="autotext"/>
      </w:docPartObj>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56465"/>
    <w:rsid w:val="00102DFF"/>
    <w:rsid w:val="00121AE4"/>
    <w:rsid w:val="00146AAD"/>
    <w:rsid w:val="001B3A40"/>
    <w:rsid w:val="00291BC0"/>
    <w:rsid w:val="00311DBE"/>
    <w:rsid w:val="004366A8"/>
    <w:rsid w:val="00502BA7"/>
    <w:rsid w:val="005162F1"/>
    <w:rsid w:val="00535153"/>
    <w:rsid w:val="00554F82"/>
    <w:rsid w:val="0056390D"/>
    <w:rsid w:val="005719B0"/>
    <w:rsid w:val="005D10D6"/>
    <w:rsid w:val="00855E3A"/>
    <w:rsid w:val="0091457F"/>
    <w:rsid w:val="00922CB9"/>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4522D84"/>
    <w:rsid w:val="0856517C"/>
    <w:rsid w:val="0BFB189F"/>
    <w:rsid w:val="11BD75F7"/>
    <w:rsid w:val="13BE561A"/>
    <w:rsid w:val="15392994"/>
    <w:rsid w:val="18FE139B"/>
    <w:rsid w:val="3029612C"/>
    <w:rsid w:val="32A221C5"/>
    <w:rsid w:val="33F20F2A"/>
    <w:rsid w:val="34C44675"/>
    <w:rsid w:val="3B5B5607"/>
    <w:rsid w:val="3CE21B3C"/>
    <w:rsid w:val="4B7A4DB3"/>
    <w:rsid w:val="4D2606A1"/>
    <w:rsid w:val="51830480"/>
    <w:rsid w:val="53A616BE"/>
    <w:rsid w:val="54662BFB"/>
    <w:rsid w:val="62051CA5"/>
    <w:rsid w:val="6C3A69EF"/>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字符"/>
    <w:basedOn w:val="17"/>
    <w:link w:val="2"/>
    <w:qFormat/>
    <w:uiPriority w:val="9"/>
    <w:rPr>
      <w:rFonts w:asciiTheme="majorHAnsi" w:hAnsiTheme="majorHAnsi" w:eastAsiaTheme="majorEastAsia"/>
      <w:b/>
      <w:bCs/>
      <w:kern w:val="32"/>
      <w:sz w:val="32"/>
      <w:szCs w:val="32"/>
    </w:rPr>
  </w:style>
  <w:style w:type="character" w:customStyle="1" w:styleId="21">
    <w:name w:val="标题 2 字符"/>
    <w:basedOn w:val="17"/>
    <w:link w:val="3"/>
    <w:semiHidden/>
    <w:qFormat/>
    <w:uiPriority w:val="9"/>
    <w:rPr>
      <w:rFonts w:asciiTheme="majorHAnsi" w:hAnsiTheme="majorHAnsi" w:eastAsiaTheme="majorEastAsia"/>
      <w:b/>
      <w:bCs/>
      <w:i/>
      <w:iCs/>
      <w:sz w:val="28"/>
      <w:szCs w:val="28"/>
    </w:rPr>
  </w:style>
  <w:style w:type="character" w:customStyle="1" w:styleId="22">
    <w:name w:val="标题 3 字符"/>
    <w:basedOn w:val="17"/>
    <w:link w:val="4"/>
    <w:semiHidden/>
    <w:qFormat/>
    <w:uiPriority w:val="9"/>
    <w:rPr>
      <w:rFonts w:asciiTheme="majorHAnsi" w:hAnsiTheme="majorHAnsi" w:eastAsiaTheme="majorEastAsia"/>
      <w:b/>
      <w:bCs/>
      <w:sz w:val="26"/>
      <w:szCs w:val="26"/>
    </w:rPr>
  </w:style>
  <w:style w:type="character" w:customStyle="1" w:styleId="23">
    <w:name w:val="标题 4 字符"/>
    <w:basedOn w:val="17"/>
    <w:link w:val="5"/>
    <w:semiHidden/>
    <w:qFormat/>
    <w:uiPriority w:val="9"/>
    <w:rPr>
      <w:b/>
      <w:bCs/>
      <w:sz w:val="28"/>
      <w:szCs w:val="28"/>
    </w:rPr>
  </w:style>
  <w:style w:type="character" w:customStyle="1" w:styleId="24">
    <w:name w:val="标题 5 字符"/>
    <w:basedOn w:val="17"/>
    <w:link w:val="6"/>
    <w:semiHidden/>
    <w:qFormat/>
    <w:uiPriority w:val="9"/>
    <w:rPr>
      <w:b/>
      <w:bCs/>
      <w:i/>
      <w:iCs/>
      <w:sz w:val="26"/>
      <w:szCs w:val="26"/>
    </w:rPr>
  </w:style>
  <w:style w:type="character" w:customStyle="1" w:styleId="25">
    <w:name w:val="标题 6 字符"/>
    <w:basedOn w:val="17"/>
    <w:link w:val="7"/>
    <w:semiHidden/>
    <w:qFormat/>
    <w:uiPriority w:val="9"/>
    <w:rPr>
      <w:b/>
      <w:bCs/>
    </w:rPr>
  </w:style>
  <w:style w:type="character" w:customStyle="1" w:styleId="26">
    <w:name w:val="标题 7 字符"/>
    <w:basedOn w:val="17"/>
    <w:link w:val="8"/>
    <w:semiHidden/>
    <w:qFormat/>
    <w:uiPriority w:val="9"/>
    <w:rPr>
      <w:sz w:val="24"/>
      <w:szCs w:val="24"/>
    </w:rPr>
  </w:style>
  <w:style w:type="character" w:customStyle="1" w:styleId="27">
    <w:name w:val="标题 8 字符"/>
    <w:basedOn w:val="17"/>
    <w:link w:val="9"/>
    <w:semiHidden/>
    <w:qFormat/>
    <w:uiPriority w:val="9"/>
    <w:rPr>
      <w:i/>
      <w:iCs/>
      <w:sz w:val="24"/>
      <w:szCs w:val="24"/>
    </w:rPr>
  </w:style>
  <w:style w:type="character" w:customStyle="1" w:styleId="28">
    <w:name w:val="标题 9 字符"/>
    <w:basedOn w:val="17"/>
    <w:link w:val="10"/>
    <w:semiHidden/>
    <w:qFormat/>
    <w:uiPriority w:val="9"/>
    <w:rPr>
      <w:rFonts w:asciiTheme="majorHAnsi" w:hAnsiTheme="majorHAnsi" w:eastAsiaTheme="majorEastAsia"/>
    </w:rPr>
  </w:style>
  <w:style w:type="character" w:customStyle="1" w:styleId="29">
    <w:name w:val="标题 字符"/>
    <w:basedOn w:val="17"/>
    <w:link w:val="15"/>
    <w:qFormat/>
    <w:uiPriority w:val="10"/>
    <w:rPr>
      <w:rFonts w:asciiTheme="majorHAnsi" w:hAnsiTheme="majorHAnsi" w:eastAsiaTheme="majorEastAsia"/>
      <w:b/>
      <w:bCs/>
      <w:kern w:val="28"/>
      <w:sz w:val="32"/>
      <w:szCs w:val="32"/>
    </w:rPr>
  </w:style>
  <w:style w:type="character" w:customStyle="1" w:styleId="30">
    <w:name w:val="副标题 字符"/>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7"/>
    <w:link w:val="13"/>
    <w:qFormat/>
    <w:uiPriority w:val="99"/>
    <w:rPr>
      <w:rFonts w:ascii="Calibri" w:hAnsi="Calibri" w:eastAsia="宋体"/>
      <w:kern w:val="2"/>
      <w:sz w:val="18"/>
      <w:szCs w:val="18"/>
    </w:rPr>
  </w:style>
  <w:style w:type="character" w:customStyle="1" w:styleId="44">
    <w:name w:val="页脚 字符"/>
    <w:basedOn w:val="17"/>
    <w:link w:val="12"/>
    <w:qFormat/>
    <w:uiPriority w:val="99"/>
    <w:rPr>
      <w:rFonts w:ascii="Calibri" w:hAnsi="Calibri" w:eastAsia="宋体"/>
      <w:kern w:val="2"/>
      <w:sz w:val="18"/>
      <w:szCs w:val="18"/>
    </w:rPr>
  </w:style>
  <w:style w:type="character" w:customStyle="1" w:styleId="45">
    <w:name w:val="批注框文本 字符"/>
    <w:basedOn w:val="17"/>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107</Words>
  <Characters>612</Characters>
  <Lines>5</Lines>
  <Paragraphs>1</Paragraphs>
  <TotalTime>137</TotalTime>
  <ScaleCrop>false</ScaleCrop>
  <LinksUpToDate>false</LinksUpToDate>
  <CharactersWithSpaces>718</CharactersWithSpaces>
  <Application>WPS Office_11.8.2.10972_F1E327BC-269C-435d-A152-05C5408002CA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恺（预算处）</dc:creator>
  <cp:lastModifiedBy>Administrator</cp:lastModifiedBy>
  <cp:lastPrinted>2018-12-31T10:56:00Z</cp:lastPrinted>
  <dcterms:modified xsi:type="dcterms:W3CDTF">2023-02-10T04:14:09Z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2052-11.8.2.10972</vt:lpwstr>
  </property>
  <property fmtid="{D5CDD505-2E9C-101B-9397-08002B2CF9AE}" pid="3" name="ICV">
    <vt:lpwstr>C734C92AAAF24344A0E4232D8EB3359B</vt:lpwstr>
  </property>
</Properties>
</file>