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新疆塔城地区额敏县文化馆</w:t>
      </w:r>
    </w:p>
    <w:p>
      <w:pPr>
        <w:jc w:val="center"/>
        <w:rPr>
          <w:rFonts w:ascii="方正小标宋_GBK" w:hAnsi="方正小标宋_GBK" w:eastAsia="方正小标宋_GBK"/>
          <w:sz w:val="44"/>
          <w:szCs w:val="44"/>
        </w:rPr>
      </w:pPr>
      <w:r>
        <w:rPr>
          <w:rFonts w:hint="eastAsia" w:ascii="方正小标宋_GBK" w:hAnsi="方正小标宋_GBK" w:eastAsia="方正小标宋_GBK"/>
          <w:sz w:val="44"/>
          <w:szCs w:val="44"/>
        </w:rPr>
        <w:t>2022年度部门决算公开说明</w:t>
      </w:r>
    </w:p>
    <w:p>
      <w:pPr>
        <w:jc w:val="center"/>
        <w:rPr>
          <w:rFonts w:ascii="仿宋_GB2312" w:hAnsi="仿宋_GB2312" w:eastAsia="仿宋_GB2312" w:cs="仿宋_GB2312"/>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5"/>
        <w:tabs>
          <w:tab w:val="right" w:pos="8306"/>
        </w:tabs>
        <w:rPr>
          <w:rFonts w:ascii="仿宋_GB2312" w:hAnsi="仿宋_GB2312" w:eastAsia="仿宋_GB2312" w:cs="仿宋_GB2312"/>
          <w:b/>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sz w:val="32"/>
          <w:szCs w:val="32"/>
        </w:rPr>
        <w:t>第一部分 单位概况</w:t>
      </w:r>
      <w:r>
        <w:rPr>
          <w:rFonts w:hint="eastAsia" w:ascii="仿宋_GB2312" w:hAnsi="仿宋_GB2312" w:eastAsia="仿宋_GB2312" w:cs="仿宋_GB2312"/>
          <w:b/>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kern w:val="0"/>
          <w:sz w:val="32"/>
          <w:szCs w:val="32"/>
        </w:rPr>
        <w:t>一、主要职能</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kern w:val="0"/>
          <w:sz w:val="32"/>
          <w:szCs w:val="32"/>
        </w:rPr>
        <w:t>二、机构设置及人员情况</w:t>
      </w:r>
      <w:r>
        <w:rPr>
          <w:rFonts w:hint="eastAsia" w:ascii="仿宋_GB2312" w:hAnsi="仿宋_GB2312" w:eastAsia="仿宋_GB2312" w:cs="仿宋_GB2312"/>
          <w:kern w:val="0"/>
          <w:sz w:val="32"/>
          <w:szCs w:val="32"/>
        </w:rPr>
        <w:fldChar w:fldCharType="end"/>
      </w:r>
    </w:p>
    <w:p>
      <w:pPr>
        <w:pStyle w:val="5"/>
        <w:tabs>
          <w:tab w:val="right" w:pos="8306"/>
        </w:tabs>
        <w:rPr>
          <w:rFonts w:ascii="仿宋_GB2312" w:hAnsi="仿宋_GB2312" w:eastAsia="仿宋_GB2312" w:cs="仿宋_GB2312"/>
          <w:b/>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sz w:val="32"/>
          <w:szCs w:val="32"/>
        </w:rPr>
        <w:t>第二部分 部门决算情况说明</w:t>
      </w:r>
      <w:r>
        <w:rPr>
          <w:rFonts w:hint="eastAsia" w:ascii="仿宋_GB2312" w:hAnsi="仿宋_GB2312" w:eastAsia="仿宋_GB2312" w:cs="仿宋_GB2312"/>
          <w:b/>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kern w:val="0"/>
          <w:sz w:val="32"/>
          <w:szCs w:val="32"/>
        </w:rPr>
        <w:t>一、收入支出决算总体情况说明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kern w:val="0"/>
          <w:sz w:val="32"/>
          <w:szCs w:val="32"/>
        </w:rPr>
        <w:t>二、收入决算情况说明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kern w:val="0"/>
          <w:sz w:val="32"/>
          <w:szCs w:val="32"/>
        </w:rPr>
        <w:t>三、支出决算情况说明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kern w:val="0"/>
          <w:sz w:val="32"/>
          <w:szCs w:val="32"/>
        </w:rPr>
        <w:t>四、财政拨款收入支出决算总体情况说明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kern w:val="0"/>
          <w:sz w:val="32"/>
          <w:szCs w:val="32"/>
        </w:rPr>
        <w:t>五、一般公共预算财政拨款支出决算情况说明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kern w:val="0"/>
          <w:sz w:val="32"/>
          <w:szCs w:val="32"/>
        </w:rPr>
        <w:t>六、一般公共预算财政拨款基本支出决算情况说明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kern w:val="0"/>
          <w:sz w:val="32"/>
          <w:szCs w:val="32"/>
        </w:rPr>
        <w:t>七、财政拨款“三公”经费支出决算情况说明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八、政府性基金预算财政拨款收入支出决算情况说明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kern w:val="0"/>
          <w:sz w:val="32"/>
          <w:szCs w:val="32"/>
        </w:rPr>
        <w:t>九、国有资本经营预算财政拨款收入支出决算情况说明</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kern w:val="0"/>
          <w:sz w:val="32"/>
          <w:szCs w:val="32"/>
        </w:rPr>
        <w:t>十、其他重要事项的情况说明</w:t>
      </w:r>
      <w:r>
        <w:rPr>
          <w:rFonts w:hint="eastAsia" w:ascii="仿宋_GB2312" w:hAnsi="仿宋_GB2312" w:eastAsia="仿宋_GB2312" w:cs="仿宋_GB2312"/>
          <w:kern w:val="0"/>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kern w:val="0"/>
          <w:sz w:val="32"/>
          <w:szCs w:val="32"/>
        </w:rPr>
        <w:t>十一、预算绩效的情况说明</w:t>
      </w:r>
      <w:r>
        <w:rPr>
          <w:rFonts w:hint="eastAsia" w:ascii="仿宋_GB2312" w:hAnsi="仿宋_GB2312" w:eastAsia="仿宋_GB2312" w:cs="仿宋_GB2312"/>
          <w:kern w:val="0"/>
          <w:sz w:val="32"/>
          <w:szCs w:val="32"/>
        </w:rPr>
        <w:fldChar w:fldCharType="end"/>
      </w:r>
    </w:p>
    <w:p>
      <w:pPr>
        <w:pStyle w:val="5"/>
        <w:tabs>
          <w:tab w:val="right" w:pos="8306"/>
        </w:tabs>
        <w:rPr>
          <w:rFonts w:ascii="仿宋_GB2312" w:hAnsi="仿宋_GB2312" w:eastAsia="仿宋_GB2312" w:cs="仿宋_GB2312"/>
          <w:b/>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sz w:val="32"/>
          <w:szCs w:val="32"/>
        </w:rPr>
        <w:t>第三部分 专业名词解释</w:t>
      </w:r>
      <w:r>
        <w:rPr>
          <w:rFonts w:hint="eastAsia" w:ascii="仿宋_GB2312" w:hAnsi="仿宋_GB2312" w:eastAsia="仿宋_GB2312" w:cs="仿宋_GB2312"/>
          <w:b/>
          <w:sz w:val="32"/>
          <w:szCs w:val="32"/>
        </w:rPr>
        <w:fldChar w:fldCharType="end"/>
      </w:r>
    </w:p>
    <w:p>
      <w:pPr>
        <w:pStyle w:val="5"/>
        <w:tabs>
          <w:tab w:val="right" w:pos="8306"/>
        </w:tabs>
        <w:rPr>
          <w:rFonts w:ascii="仿宋_GB2312" w:hAnsi="仿宋_GB2312" w:eastAsia="仿宋_GB2312" w:cs="仿宋_GB2312"/>
          <w:b/>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sz w:val="32"/>
          <w:szCs w:val="32"/>
        </w:rPr>
        <w:t>第四部分 部门决算报表（见附表）</w:t>
      </w:r>
      <w:r>
        <w:rPr>
          <w:rFonts w:hint="eastAsia" w:ascii="仿宋_GB2312" w:hAnsi="仿宋_GB2312" w:eastAsia="仿宋_GB2312" w:cs="仿宋_GB2312"/>
          <w:b/>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kern w:val="0"/>
          <w:sz w:val="32"/>
          <w:szCs w:val="32"/>
        </w:rPr>
        <w:t>一、《收入支出决算总表》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kern w:val="0"/>
          <w:sz w:val="32"/>
          <w:szCs w:val="32"/>
        </w:rPr>
        <w:t>二、《收入决算表》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kern w:val="0"/>
          <w:sz w:val="32"/>
          <w:szCs w:val="32"/>
        </w:rPr>
        <w:t>三、《支出决算表》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kern w:val="0"/>
          <w:sz w:val="32"/>
          <w:szCs w:val="32"/>
        </w:rPr>
        <w:t>四、《财政拨款收入支出决算总表》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kern w:val="0"/>
          <w:sz w:val="32"/>
          <w:szCs w:val="32"/>
        </w:rPr>
        <w:t>五、《一般公共预算财政拨款支出决算表》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kern w:val="0"/>
          <w:sz w:val="32"/>
          <w:szCs w:val="32"/>
        </w:rPr>
        <w:t>六、《一般公共预算财政拨款基本支出决算表》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kern w:val="0"/>
          <w:sz w:val="32"/>
          <w:szCs w:val="32"/>
        </w:rPr>
        <w:t>七、《财政拨款“三公”经费支出决算表》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八、《政府性基金预算财政拨款收入支出决算表》</w:t>
      </w:r>
      <w:r>
        <w:rPr>
          <w:rFonts w:hint="eastAsia" w:ascii="仿宋_GB2312" w:hAnsi="仿宋_GB2312" w:eastAsia="仿宋_GB2312" w:cs="仿宋_GB2312"/>
          <w:kern w:val="0"/>
          <w:sz w:val="32"/>
          <w:szCs w:val="32"/>
        </w:rPr>
        <w:fldChar w:fldCharType="end"/>
      </w:r>
    </w:p>
    <w:p>
      <w:pPr>
        <w:pStyle w:val="6"/>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kern w:val="0"/>
          <w:sz w:val="32"/>
          <w:szCs w:val="32"/>
        </w:rPr>
        <w:t>九、《国有资本经营预算财政拨款收入支出决算表》</w:t>
      </w:r>
      <w:r>
        <w:rPr>
          <w:rFonts w:hint="eastAsia" w:ascii="仿宋_GB2312" w:hAnsi="仿宋_GB2312" w:eastAsia="仿宋_GB2312" w:cs="仿宋_GB2312"/>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kern w:val="0"/>
          <w:sz w:val="32"/>
          <w:szCs w:val="32"/>
        </w:rPr>
      </w:pPr>
      <w:bookmarkStart w:id="2" w:name="_Toc30738"/>
      <w:bookmarkStart w:id="3" w:name="_Toc30567"/>
      <w:r>
        <w:rPr>
          <w:rFonts w:hint="eastAsia" w:ascii="黑体" w:hAnsi="黑体" w:eastAsia="黑体" w:cs="宋体"/>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 xml:space="preserve">  为充分发挥文化馆保障公民基本文化权益、提高公民鉴赏能力的重要作用，加强公共文化服务体系建设，做好群众服务工作，组织群众文化活动，繁荣群众文化事业，文化宣传、文艺活动组织、文艺创作培训。文化交流、民族民间文化艺术遗产收集整理与保护。</w:t>
      </w:r>
    </w:p>
    <w:p>
      <w:pPr>
        <w:ind w:firstLine="640" w:firstLineChars="200"/>
        <w:outlineLvl w:val="1"/>
        <w:rPr>
          <w:rFonts w:ascii="黑体" w:hAnsi="黑体" w:eastAsia="黑体" w:cs="宋体"/>
          <w:kern w:val="0"/>
          <w:sz w:val="32"/>
          <w:szCs w:val="32"/>
        </w:rPr>
      </w:pPr>
      <w:bookmarkStart w:id="4" w:name="_Toc31238"/>
      <w:bookmarkStart w:id="5" w:name="_Toc2151"/>
      <w:r>
        <w:rPr>
          <w:rFonts w:hint="eastAsia" w:ascii="黑体" w:hAnsi="黑体" w:eastAsia="黑体" w:cs="宋体"/>
          <w:kern w:val="0"/>
          <w:sz w:val="32"/>
          <w:szCs w:val="32"/>
        </w:rPr>
        <w:t>二、机构设置及</w:t>
      </w:r>
      <w:bookmarkEnd w:id="4"/>
      <w:r>
        <w:rPr>
          <w:rFonts w:hint="eastAsia" w:ascii="黑体" w:hAnsi="黑体" w:eastAsia="黑体" w:cs="宋体"/>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新疆塔城地区额敏县文化馆2022年度，实有人数34人，其中：在职人员13人，离休人员0人，退休人员21人。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从部门决算单位构成看，新疆塔城地区额敏县文化馆部门决算包括：新疆塔城地区额敏县文化馆决算。单位无下属预算单位，下设</w:t>
      </w:r>
      <w:r>
        <w:rPr>
          <w:rFonts w:hint="eastAsia" w:ascii="仿宋_GB2312" w:eastAsia="仿宋_GB2312"/>
          <w:sz w:val="32"/>
          <w:szCs w:val="32"/>
          <w:lang w:val="en-US" w:eastAsia="zh-CN"/>
        </w:rPr>
        <w:t>5</w:t>
      </w:r>
      <w:bookmarkStart w:id="54" w:name="_GoBack"/>
      <w:bookmarkEnd w:id="54"/>
      <w:r>
        <w:rPr>
          <w:rFonts w:hint="eastAsia" w:ascii="仿宋_GB2312" w:eastAsia="仿宋_GB2312"/>
          <w:sz w:val="32"/>
          <w:szCs w:val="32"/>
        </w:rPr>
        <w:t>个处室，分别是：财务室、群众文化综合办、非遗办、排练室、阅览室。</w:t>
      </w:r>
    </w:p>
    <w:p>
      <w:pPr>
        <w:ind w:firstLine="562" w:firstLineChars="200"/>
        <w:jc w:val="center"/>
        <w:outlineLvl w:val="0"/>
        <w:rPr>
          <w:rFonts w:ascii="黑体" w:hAnsi="黑体" w:eastAsia="黑体"/>
          <w:sz w:val="32"/>
          <w:szCs w:val="32"/>
        </w:rPr>
      </w:pPr>
      <w:bookmarkStart w:id="6" w:name="_Toc29374"/>
      <w:bookmarkStart w:id="7" w:name="_Toc3092"/>
      <w:r>
        <w:rPr>
          <w:rFonts w:ascii="黑体"/>
          <w:b/>
          <w:kern w:val="44"/>
          <w:sz w:val="28"/>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kern w:val="0"/>
          <w:sz w:val="32"/>
          <w:szCs w:val="32"/>
        </w:rPr>
      </w:pPr>
      <w:bookmarkStart w:id="8" w:name="_Toc12566"/>
      <w:bookmarkStart w:id="9" w:name="_Toc25314"/>
      <w:r>
        <w:rPr>
          <w:rFonts w:hint="eastAsia" w:ascii="黑体" w:hAnsi="黑体" w:eastAsia="黑体" w:cs="宋体"/>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2022年度收入总计248.14万元，其中：本年收入合计236.63万元，使用非财政拨款结余0.00万元，年初结转和结余11.50万元。收入总计与上年相比，增加49.20万元，增长24.73%，主要原因是：2022年度人员工资调整，发放2017和2020年各一个季度绩效工资,本年收入较上年有所增加。</w:t>
      </w:r>
    </w:p>
    <w:p>
      <w:pPr>
        <w:ind w:firstLine="640" w:firstLineChars="200"/>
        <w:rPr>
          <w:rFonts w:ascii="仿宋_GB2312" w:eastAsia="仿宋_GB2312"/>
          <w:sz w:val="32"/>
          <w:szCs w:val="32"/>
        </w:rPr>
      </w:pPr>
      <w:r>
        <w:rPr>
          <w:rFonts w:hint="eastAsia" w:ascii="仿宋_GB2312" w:eastAsia="仿宋_GB2312"/>
          <w:sz w:val="32"/>
          <w:szCs w:val="32"/>
        </w:rPr>
        <w:t>本年支出总计248.14万元，其中：本年支出合计236.63万元，结余分配0.00万元，年末结转和结余11.50万元。支出总计与上年相比，增加49.20万元，增长24.73%，主要原因是：2022年度人员工资调整，发放2017和2020年各一个季度绩效工资,本年支出合计较上年有所增加。</w:t>
      </w:r>
    </w:p>
    <w:p>
      <w:pPr>
        <w:ind w:firstLine="640" w:firstLineChars="200"/>
        <w:outlineLvl w:val="1"/>
        <w:rPr>
          <w:rFonts w:ascii="黑体" w:hAnsi="黑体" w:eastAsia="黑体" w:cs="宋体"/>
          <w:kern w:val="0"/>
          <w:sz w:val="32"/>
          <w:szCs w:val="32"/>
        </w:rPr>
      </w:pPr>
      <w:bookmarkStart w:id="10" w:name="_Toc12142"/>
      <w:bookmarkStart w:id="11" w:name="_Toc1979"/>
      <w:r>
        <w:rPr>
          <w:rFonts w:hint="eastAsia" w:ascii="黑体" w:hAnsi="黑体" w:eastAsia="黑体" w:cs="宋体"/>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2022年度本年收入236.63万元，其中：财政拨款收入236.63万元，占100.00%；上级补助收入0.00万元，占0.00%；事业收入0.00万元，占0.00%；经营收入0.00万元，占0.00%；附属单位上缴收入0.00万元，占0.00%；其他收入0.00万元，占0.00%。</w:t>
      </w:r>
    </w:p>
    <w:p>
      <w:pPr>
        <w:ind w:firstLine="640" w:firstLineChars="200"/>
        <w:outlineLvl w:val="1"/>
        <w:rPr>
          <w:rFonts w:ascii="黑体" w:hAnsi="黑体" w:eastAsia="黑体" w:cs="宋体"/>
          <w:kern w:val="0"/>
          <w:sz w:val="32"/>
          <w:szCs w:val="32"/>
        </w:rPr>
      </w:pPr>
      <w:bookmarkStart w:id="12" w:name="_Toc27961"/>
      <w:bookmarkStart w:id="13" w:name="_Toc13201"/>
      <w:r>
        <w:rPr>
          <w:rFonts w:hint="eastAsia" w:ascii="黑体" w:hAnsi="黑体" w:eastAsia="黑体" w:cs="宋体"/>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2022年度本年支出236.63万元，其中：基本支出225.76万元，占95.41%；项目支出10.87万元，占4.59%；上缴上级支出0.00万元，占0.00%；经营支出0.00万元，占0.00%；对附属单位补助支出0.00万元，占0.00%。</w:t>
      </w:r>
    </w:p>
    <w:p>
      <w:pPr>
        <w:ind w:firstLine="640" w:firstLineChars="200"/>
        <w:outlineLvl w:val="1"/>
        <w:rPr>
          <w:rFonts w:ascii="黑体" w:hAnsi="黑体" w:eastAsia="黑体" w:cs="宋体"/>
          <w:kern w:val="0"/>
          <w:sz w:val="32"/>
          <w:szCs w:val="32"/>
        </w:rPr>
      </w:pPr>
      <w:bookmarkStart w:id="14" w:name="_Toc26564"/>
      <w:bookmarkStart w:id="15" w:name="_Toc4393"/>
      <w:r>
        <w:rPr>
          <w:rFonts w:hint="eastAsia" w:ascii="黑体" w:hAnsi="黑体" w:eastAsia="黑体" w:cs="宋体"/>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2022年度财政拨款收入总计248.14万元，其中：年初财政拨款结转和结余11.50万元，财政拨款本年收入236.63万元。财政拨款收入总计与上年相比，增加49.20万元，增长24.73%，主要原因是：2022年度人员工资调整，发放2017和2020年各一个季度绩效工资,本年财政拨款收入较上年有所增加。</w:t>
      </w:r>
    </w:p>
    <w:p>
      <w:pPr>
        <w:ind w:firstLine="640" w:firstLineChars="200"/>
        <w:rPr>
          <w:rFonts w:ascii="仿宋_GB2312" w:eastAsia="仿宋_GB2312"/>
          <w:sz w:val="32"/>
          <w:szCs w:val="32"/>
        </w:rPr>
      </w:pPr>
      <w:r>
        <w:rPr>
          <w:rFonts w:hint="eastAsia" w:ascii="仿宋_GB2312" w:eastAsia="仿宋_GB2312"/>
          <w:sz w:val="32"/>
          <w:szCs w:val="32"/>
        </w:rPr>
        <w:t>财政拨款支出总计248.14万元，其中：年末财政拨款结转和结余11.50万元，财政拨款本年支出236.63万元。财政拨款支出总计与上年相比，增加49.20万元，增长24.73%，主要原因是：2022年度人员工资调整，发放2017和2020年各一个季度绩效工资,本年财政拨款支出较上年有所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203.65万元，决算数248.14万元，预决算差异率21.85%，主要原因是：2022年度人员工资调整，发放2017和2020年各一个季度绩效工资，年中追加预算，故预决算存在差异。财政拨款支出总计年初预算数203.65万元，决算数248.14万元，预决算差异率21.85%，主要原因是：2022年度人员工资调整，发放2017和2020年各一个季度绩效工资,年中追加预算，故预决算存在差异。</w:t>
      </w:r>
    </w:p>
    <w:p>
      <w:pPr>
        <w:ind w:firstLine="640" w:firstLineChars="200"/>
        <w:rPr>
          <w:rFonts w:ascii="仿宋_GB2312" w:eastAsia="仿宋_GB2312"/>
          <w:sz w:val="32"/>
          <w:szCs w:val="32"/>
        </w:rPr>
      </w:pPr>
    </w:p>
    <w:p>
      <w:pPr>
        <w:ind w:firstLine="640" w:firstLineChars="200"/>
        <w:outlineLvl w:val="1"/>
        <w:rPr>
          <w:rFonts w:ascii="黑体" w:hAnsi="黑体" w:eastAsia="黑体" w:cs="宋体"/>
          <w:kern w:val="0"/>
          <w:sz w:val="32"/>
          <w:szCs w:val="32"/>
        </w:rPr>
      </w:pPr>
      <w:bookmarkStart w:id="16" w:name="_Toc20360"/>
      <w:bookmarkStart w:id="17" w:name="_Toc13833"/>
      <w:r>
        <w:rPr>
          <w:rFonts w:hint="eastAsia" w:ascii="黑体" w:hAnsi="黑体" w:eastAsia="黑体" w:cs="宋体"/>
          <w:kern w:val="0"/>
          <w:sz w:val="32"/>
          <w:szCs w:val="32"/>
        </w:rPr>
        <w:t>五、一般公共预算财政拨款支出决算情况说明</w:t>
      </w:r>
      <w:bookmarkEnd w:id="16"/>
      <w:bookmarkEnd w:id="17"/>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支出236.63万元，占本年支出合计的100.00%，与上年相比，增加49.19万元，增长26.24%，主要原因是：2022年度人员工资调整，发放2017和2020年各一个季度绩效工资,本年一般公共预算财政拨款支出较上年有所增加。</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（二）一般公共预算财政拨款支出决算结构情况</w:t>
      </w:r>
    </w:p>
    <w:p>
      <w:pPr>
        <w:ind w:firstLine="640" w:firstLineChars="200"/>
        <w:rPr>
          <w:rFonts w:ascii="仿宋_GB2312" w:eastAsia="仿宋_GB2312"/>
          <w:sz w:val="32"/>
          <w:szCs w:val="32"/>
        </w:rPr>
      </w:pPr>
      <w:r>
        <w:rPr>
          <w:rFonts w:hint="eastAsia" w:ascii="仿宋_GB2312" w:eastAsia="仿宋_GB2312"/>
          <w:sz w:val="32"/>
          <w:szCs w:val="32"/>
        </w:rPr>
        <w:t>1.文化旅游体育与传媒支出（类）172.73万元，占72.99%。</w:t>
      </w:r>
    </w:p>
    <w:p>
      <w:pPr>
        <w:ind w:firstLine="640" w:firstLineChars="200"/>
        <w:rPr>
          <w:rFonts w:ascii="仿宋_GB2312" w:eastAsia="仿宋_GB2312"/>
          <w:sz w:val="32"/>
          <w:szCs w:val="32"/>
        </w:rPr>
      </w:pPr>
      <w:r>
        <w:rPr>
          <w:rFonts w:hint="eastAsia" w:ascii="仿宋_GB2312" w:eastAsia="仿宋_GB2312"/>
          <w:sz w:val="32"/>
          <w:szCs w:val="32"/>
        </w:rPr>
        <w:t>2.社会保障和就业支出（类）39.56万元，占16.72%。</w:t>
      </w:r>
    </w:p>
    <w:p>
      <w:pPr>
        <w:ind w:firstLine="640" w:firstLineChars="200"/>
        <w:rPr>
          <w:rFonts w:ascii="仿宋_GB2312" w:eastAsia="仿宋_GB2312"/>
          <w:sz w:val="32"/>
          <w:szCs w:val="32"/>
        </w:rPr>
      </w:pPr>
      <w:r>
        <w:rPr>
          <w:rFonts w:hint="eastAsia" w:ascii="仿宋_GB2312" w:eastAsia="仿宋_GB2312"/>
          <w:sz w:val="32"/>
          <w:szCs w:val="32"/>
        </w:rPr>
        <w:t>3.卫生健康支出（类）8.94万元，占3.78%。</w:t>
      </w:r>
    </w:p>
    <w:p>
      <w:pPr>
        <w:ind w:firstLine="640" w:firstLineChars="200"/>
        <w:rPr>
          <w:rFonts w:ascii="仿宋_GB2312" w:eastAsia="仿宋_GB2312"/>
          <w:sz w:val="32"/>
          <w:szCs w:val="32"/>
        </w:rPr>
      </w:pPr>
      <w:r>
        <w:rPr>
          <w:rFonts w:hint="eastAsia" w:ascii="仿宋_GB2312" w:eastAsia="仿宋_GB2312"/>
          <w:sz w:val="32"/>
          <w:szCs w:val="32"/>
        </w:rPr>
        <w:t>4.住房保障支出（类）15.41万元，占6.51%。</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（三）一般公共预算财政拨款支出决算具体情况</w:t>
      </w:r>
    </w:p>
    <w:p>
      <w:pPr>
        <w:ind w:firstLine="640" w:firstLineChars="200"/>
        <w:rPr>
          <w:rFonts w:ascii="仿宋_GB2312" w:eastAsia="仿宋_GB2312"/>
          <w:sz w:val="32"/>
          <w:szCs w:val="32"/>
        </w:rPr>
      </w:pPr>
      <w:r>
        <w:rPr>
          <w:rFonts w:hint="eastAsia" w:ascii="仿宋_GB2312" w:eastAsia="仿宋_GB2312"/>
          <w:sz w:val="32"/>
          <w:szCs w:val="32"/>
        </w:rPr>
        <w:t>1.文化旅游体育与传媒支出（类）文化和旅游（款）群众文化（项）：支出决算数为161.86万元，比上年决算增加37.06万元，增长29.70%，主要原因是：2022年度人员工资调整，发放2017和2020年各一个季度绩效工资,较上年有所增加。</w:t>
      </w:r>
    </w:p>
    <w:p>
      <w:pPr>
        <w:ind w:firstLine="640" w:firstLineChars="200"/>
        <w:rPr>
          <w:rFonts w:ascii="仿宋_GB2312" w:eastAsia="仿宋_GB2312"/>
          <w:sz w:val="32"/>
          <w:szCs w:val="32"/>
        </w:rPr>
      </w:pPr>
      <w:r>
        <w:rPr>
          <w:rFonts w:hint="eastAsia" w:ascii="仿宋_GB2312" w:eastAsia="仿宋_GB2312"/>
          <w:sz w:val="32"/>
          <w:szCs w:val="32"/>
        </w:rPr>
        <w:t>2.文化旅游体育与传媒支出（类）文化和旅游（款）其他文化和旅游支出（项）：支出决算数为10.87万元，比上年决算增加10.87万元，增长100%，主要原因是：2022年度新增项目支出,列入2070199其他文化和旅游支出,金额是10.87万元，较上年增加。</w:t>
      </w:r>
    </w:p>
    <w:p>
      <w:pPr>
        <w:ind w:firstLine="640" w:firstLineChars="200"/>
        <w:rPr>
          <w:rFonts w:ascii="仿宋_GB2312" w:eastAsia="仿宋_GB2312"/>
          <w:sz w:val="32"/>
          <w:szCs w:val="32"/>
        </w:rPr>
      </w:pPr>
      <w:r>
        <w:rPr>
          <w:rFonts w:hint="eastAsia" w:ascii="仿宋_GB2312" w:eastAsia="仿宋_GB2312"/>
          <w:sz w:val="32"/>
          <w:szCs w:val="32"/>
        </w:rPr>
        <w:t>3.社会保障和就业支出（类）行政事业单位养老支出（款）事业单位离退休（项）：支出决算数为17.33万元，比上年决算增加1.32万元，增长8.24%，主要原因是：2022年我单位退休人数增加1人。</w:t>
      </w:r>
    </w:p>
    <w:p>
      <w:pPr>
        <w:ind w:firstLine="640" w:firstLineChars="200"/>
        <w:rPr>
          <w:rFonts w:ascii="仿宋_GB2312" w:eastAsia="仿宋_GB2312"/>
          <w:sz w:val="32"/>
          <w:szCs w:val="32"/>
        </w:rPr>
      </w:pPr>
      <w:r>
        <w:rPr>
          <w:rFonts w:hint="eastAsia" w:ascii="仿宋_GB2312" w:eastAsia="仿宋_GB2312"/>
          <w:sz w:val="32"/>
          <w:szCs w:val="32"/>
        </w:rPr>
        <w:t>4.社会保障和就业支出（类）行政事业单位养老支出（款）机关事业单位基本养老保险缴费支出（项）：支出决算数为22.23万元，比上年决算增加5.14万元，增长30.08%，主要原因是：2022年人员工资基数增长，机关事业单位基本养老保险缴费支出也增加。</w:t>
      </w:r>
    </w:p>
    <w:p>
      <w:pPr>
        <w:ind w:firstLine="640" w:firstLineChars="200"/>
        <w:rPr>
          <w:rFonts w:ascii="仿宋_GB2312" w:eastAsia="仿宋_GB2312"/>
          <w:sz w:val="32"/>
          <w:szCs w:val="32"/>
        </w:rPr>
      </w:pPr>
      <w:r>
        <w:rPr>
          <w:rFonts w:hint="eastAsia" w:ascii="仿宋_GB2312" w:eastAsia="仿宋_GB2312"/>
          <w:sz w:val="32"/>
          <w:szCs w:val="32"/>
        </w:rPr>
        <w:t>5.卫生健康支出（类）行政事业单位医疗（款）事业单位医疗（项）：支出决算数为8.94万元，比上年决算减少0.78万元，下降7.93%，主要原因是：2022年事业单位医疗缴费比例降低，支出数较上年下降。</w:t>
      </w:r>
    </w:p>
    <w:p>
      <w:pPr>
        <w:ind w:firstLine="640" w:firstLineChars="200"/>
        <w:rPr>
          <w:rFonts w:hint="eastAsia" w:ascii="仿宋_GB2312" w:eastAsia="仿宋_GB2312"/>
          <w:sz w:val="32"/>
          <w:szCs w:val="32"/>
        </w:rPr>
      </w:pPr>
      <w:r>
        <w:rPr>
          <w:rFonts w:hint="eastAsia" w:ascii="仿宋_GB2312" w:eastAsia="仿宋_GB2312"/>
          <w:sz w:val="32"/>
          <w:szCs w:val="32"/>
        </w:rPr>
        <w:t>6.住房保障支出（类）住房改革支出（款）住房公积金（项）：支出决算数为15.41万元，比上年决算增加2.60万元，增长20.30%，主要原因是：全体在职职工工资正常晋升、绩效工资调标致使工资基数增加，住房公积金增加。</w:t>
      </w:r>
    </w:p>
    <w:p>
      <w:pPr>
        <w:ind w:firstLine="640" w:firstLineChars="200"/>
        <w:rPr>
          <w:rFonts w:hint="eastAsia" w:ascii="仿宋_GB2312" w:eastAsia="仿宋_GB2312"/>
          <w:sz w:val="32"/>
          <w:szCs w:val="32"/>
        </w:rPr>
      </w:pPr>
      <w:r>
        <w:rPr>
          <w:rFonts w:hint="eastAsia" w:ascii="仿宋_GB2312" w:eastAsia="仿宋_GB2312"/>
          <w:sz w:val="32"/>
          <w:szCs w:val="32"/>
        </w:rPr>
        <w:t>7. 文化旅游体育与传媒支出（类）其他文化旅游体育与传媒支出（款）其他文化旅游体育与传媒支出（项）：支出决算数为0万元，比上年决算减少0.75万元，下降100%，主要原因是：2022年度取消本项目支出,列入2070199其他文化和旅游支出，故下降100%。</w:t>
      </w:r>
    </w:p>
    <w:p>
      <w:pPr>
        <w:ind w:firstLine="640" w:firstLineChars="200"/>
        <w:rPr>
          <w:rFonts w:ascii="仿宋_GB2312" w:eastAsia="仿宋_GB2312"/>
          <w:sz w:val="32"/>
          <w:szCs w:val="32"/>
        </w:rPr>
      </w:pPr>
      <w:r>
        <w:rPr>
          <w:rFonts w:hint="eastAsia" w:ascii="仿宋_GB2312" w:eastAsia="仿宋_GB2312"/>
          <w:sz w:val="32"/>
          <w:szCs w:val="32"/>
        </w:rPr>
        <w:t>8. 社会保障和就业支出（类）行政事业单位养老支出（款）机关事业单位职业年金缴费支出（项）：支出决算数为0万元，比上年决算减少6.25万元，下降100%，主要原因是：我单位本年度未安排职业年金的支出。</w:t>
      </w:r>
    </w:p>
    <w:p>
      <w:pPr>
        <w:ind w:firstLine="640" w:firstLineChars="200"/>
        <w:outlineLvl w:val="1"/>
        <w:rPr>
          <w:rFonts w:ascii="黑体" w:hAnsi="黑体" w:eastAsia="黑体" w:cs="宋体"/>
          <w:kern w:val="0"/>
          <w:sz w:val="32"/>
          <w:szCs w:val="32"/>
        </w:rPr>
      </w:pPr>
      <w:bookmarkStart w:id="18" w:name="_Toc11146"/>
      <w:bookmarkStart w:id="19" w:name="_Toc30870"/>
      <w:r>
        <w:rPr>
          <w:rFonts w:hint="eastAsia" w:ascii="黑体" w:hAnsi="黑体" w:eastAsia="黑体" w:cs="宋体"/>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2022年度一般公共预算财政拨款基本支出225.76万元，其中：</w:t>
      </w:r>
    </w:p>
    <w:p>
      <w:pPr>
        <w:ind w:firstLine="640" w:firstLineChars="200"/>
        <w:rPr>
          <w:rFonts w:ascii="仿宋_GB2312" w:eastAsia="仿宋_GB2312"/>
          <w:sz w:val="32"/>
          <w:szCs w:val="32"/>
        </w:rPr>
      </w:pPr>
      <w:r>
        <w:rPr>
          <w:rFonts w:hint="eastAsia" w:ascii="仿宋_GB2312" w:eastAsia="仿宋_GB2312"/>
          <w:sz w:val="32"/>
          <w:szCs w:val="32"/>
        </w:rPr>
        <w:t>人员经费223.77万元，包括：基本工资、津贴补贴、奖金、绩效工资、机关事业单位基本养老保险缴费、职工基本医疗保险缴费、其他社会保障缴费、住房公积金、退休费、奖励金。</w:t>
      </w:r>
    </w:p>
    <w:p>
      <w:pPr>
        <w:ind w:firstLine="640" w:firstLineChars="200"/>
        <w:rPr>
          <w:rFonts w:ascii="仿宋_GB2312" w:eastAsia="仿宋_GB2312"/>
          <w:sz w:val="32"/>
          <w:szCs w:val="32"/>
        </w:rPr>
      </w:pPr>
      <w:r>
        <w:rPr>
          <w:rFonts w:hint="eastAsia" w:ascii="仿宋_GB2312" w:eastAsia="仿宋_GB2312"/>
          <w:sz w:val="32"/>
          <w:szCs w:val="32"/>
        </w:rPr>
        <w:t>公用经费2.00万元，包括：办公费、劳务费、其他交通费用。</w:t>
      </w:r>
    </w:p>
    <w:p>
      <w:pPr>
        <w:ind w:firstLine="640" w:firstLineChars="200"/>
        <w:outlineLvl w:val="1"/>
        <w:rPr>
          <w:rFonts w:ascii="黑体" w:hAnsi="黑体" w:eastAsia="黑体" w:cs="宋体"/>
          <w:kern w:val="0"/>
          <w:sz w:val="32"/>
          <w:szCs w:val="32"/>
        </w:rPr>
      </w:pPr>
      <w:bookmarkStart w:id="20" w:name="_Toc7190"/>
      <w:bookmarkStart w:id="21" w:name="_Toc21518"/>
      <w:r>
        <w:rPr>
          <w:rFonts w:hint="eastAsia" w:ascii="黑体" w:hAnsi="黑体" w:eastAsia="黑体" w:cs="宋体"/>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2022年度财政拨款“三公”经费支出决算0.00万元，比上年增加0.00万元，增长0.00%，主要原因是：我单位无“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因公出国（境）费支出0.00万元，开支内容包括我单位无因公出国（境）费支出。单位全年安排的因公出国（境）团组0个，因公出国（境）0人次。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公务接待费0.00万元，开支内容包括我单位无公务接待费。单位全年安排的国内公务接待0批次，0人次。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0.00万元，决算数0.00万元，预决算差异率0.00%，主要原因是：我单位未安排财政拨款“三公”经费支出，预决算无差异。其中：因公出国（境）费全年预算数0.00万元，决算数0.00万元，预决算差异率0.00%，主要原因是：我单位未安排因公出国（境）费，预决算无差异；公务用车购置费全年预算数0.00万元，决算数0.00万元，预决算差异率0.00%，主要原因是：我单位未安排公务用车购置费，预决算无差异；</w:t>
      </w:r>
      <w:r>
        <w:rPr>
          <w:rFonts w:hint="eastAsia" w:ascii="仿宋_GB2312" w:hAnsi="宋体" w:eastAsia="仿宋_GB2312" w:cs="宋体"/>
          <w:kern w:val="0"/>
          <w:sz w:val="32"/>
          <w:szCs w:val="32"/>
        </w:rPr>
        <w:t>公务用车运行费全年预算数0.00万元，决算数0.00万元，预决算差异率0.00%，主要原因是：我单位未安排公务用车运行费，预决算无差异；</w:t>
      </w:r>
      <w:r>
        <w:rPr>
          <w:rFonts w:hint="eastAsia" w:ascii="仿宋_GB2312" w:eastAsia="仿宋_GB2312"/>
          <w:sz w:val="32"/>
          <w:szCs w:val="32"/>
        </w:rPr>
        <w:t>公务接待费全年预算数0.00万元，决算数0.00万元，预决算差异率0.00%，主要原因是：我单位未安排公务接待费，预决算无差异。</w:t>
      </w:r>
    </w:p>
    <w:p>
      <w:pPr>
        <w:ind w:firstLine="640" w:firstLineChars="200"/>
        <w:outlineLvl w:val="1"/>
        <w:rPr>
          <w:rFonts w:ascii="黑体" w:hAnsi="黑体" w:eastAsia="黑体" w:cs="宋体"/>
          <w:kern w:val="0"/>
          <w:sz w:val="32"/>
          <w:szCs w:val="32"/>
        </w:rPr>
      </w:pPr>
      <w:bookmarkStart w:id="22" w:name="_Toc5810"/>
      <w:bookmarkStart w:id="23" w:name="_Toc7927"/>
      <w:r>
        <w:rPr>
          <w:rFonts w:hint="eastAsia" w:ascii="黑体" w:hAnsi="黑体" w:eastAsia="黑体" w:cs="宋体"/>
          <w:kern w:val="0"/>
          <w:sz w:val="32"/>
          <w:szCs w:val="32"/>
        </w:rPr>
        <w:t>八、政府性基金预算财政拨款收入支出决算情况说明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九、国有资本经营预算财政拨款收入支出决算情况说明</w:t>
      </w:r>
    </w:p>
    <w:p>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outlineLvl w:val="1"/>
        <w:rPr>
          <w:rFonts w:ascii="黑体" w:hAnsi="黑体" w:eastAsia="黑体" w:cs="宋体"/>
          <w:kern w:val="0"/>
          <w:sz w:val="32"/>
          <w:szCs w:val="32"/>
        </w:rPr>
      </w:pPr>
      <w:bookmarkStart w:id="24" w:name="_Toc1235"/>
      <w:bookmarkStart w:id="25" w:name="_Toc7314"/>
      <w:r>
        <w:rPr>
          <w:rFonts w:hint="eastAsia" w:ascii="黑体" w:hAnsi="黑体" w:eastAsia="黑体" w:cs="宋体"/>
          <w:kern w:val="0"/>
          <w:sz w:val="32"/>
          <w:szCs w:val="32"/>
        </w:rPr>
        <w:t>十、其他重要事项的情况说明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2022年度新疆塔城地区额敏县文化馆（事业单位）公用经费2.00万元，比上年减少1.23万元，下降38.08%，主要原因是：2022年度厉行节约，压缩开支，公用经费支出下降。</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2022年度政府采购支出总额2.47万元，其中：政府采购货物支出1.78万元、政府采购工程支出0.00万元、政府采购服务支出0.68万元。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授予中小企业合同金额2.47万元，占政府采购支出总额的100.00%，其中：授予小微企业合同金额2.47万元，占政府采购支出总额的100.00%。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299.13万元，房屋1,525.00平方米，价值153.37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ind w:firstLine="640" w:firstLineChars="200"/>
        <w:outlineLvl w:val="1"/>
        <w:rPr>
          <w:rFonts w:ascii="黑体" w:hAnsi="黑体" w:eastAsia="黑体" w:cs="宋体"/>
          <w:kern w:val="0"/>
          <w:sz w:val="32"/>
          <w:szCs w:val="32"/>
        </w:rPr>
      </w:pPr>
      <w:bookmarkStart w:id="32" w:name="_Toc11283"/>
      <w:bookmarkStart w:id="33" w:name="_Toc435"/>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十一、预算绩效的情况说明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2022年度开展预算绩效评价项目1个，全年预算数20万元，全年执行数10.87万元。预算绩效管理取得的成效：一是强化绩效目标管理，不断提高绩效目标的科学性、规范性。组织开展绩效运行监控，加强监控结果应用。全面开展绩效自评，强化绩效自评结果，推动自评质量提升；二是逐步将绩效管理覆盖所有财政资金，目前已涵盖一般公共预算。发现的问题及原因：一是预算绩效管理力度不够；二是预算绩效管理从业人员的专业素质偏低。下一步改进措施：一是提高预算绩效管理水平，需要加强对预算绩效管理的重视。现阶段我单位的预算绩效目标设置和绩效评价指标扔存在不相匹配问题，这时就需要人员履行好针对绩效评价反馈情况进行修正的职责，做到项目、绩效、评价、结果反馈的平衡；二是提升绩效管理从业人员的专业素质和思想水平，我单位预算管理的改进工作中，最核心的环节是从业人员，只有提升从业人员的专业素质以及水平，才能更好的从根本上解决问题。提升从业人员的思想道德水平，进一步达到提升预算绩效管理能力的目的。具体项目自评情况附项目支出绩效自评表。</w:t>
      </w:r>
    </w:p>
    <w:p>
      <w:pPr>
        <w:ind w:firstLine="562" w:firstLineChars="200"/>
        <w:jc w:val="center"/>
        <w:outlineLvl w:val="0"/>
        <w:rPr>
          <w:rFonts w:ascii="黑体" w:hAnsi="黑体" w:eastAsia="黑体"/>
          <w:sz w:val="32"/>
          <w:szCs w:val="32"/>
        </w:rPr>
      </w:pPr>
      <w:bookmarkStart w:id="34" w:name="_Toc24143"/>
      <w:bookmarkStart w:id="35" w:name="_Toc3250"/>
      <w:r>
        <w:rPr>
          <w:rFonts w:ascii="黑体"/>
          <w:b/>
          <w:kern w:val="44"/>
          <w:sz w:val="28"/>
        </w:rPr>
        <w:br w:type="page"/>
      </w:r>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562" w:firstLineChars="200"/>
        <w:jc w:val="center"/>
        <w:outlineLvl w:val="0"/>
        <w:rPr>
          <w:rFonts w:ascii="黑体" w:hAnsi="黑体" w:eastAsia="黑体"/>
          <w:sz w:val="32"/>
          <w:szCs w:val="32"/>
        </w:rPr>
      </w:pPr>
      <w:bookmarkStart w:id="36" w:name="_Toc28903"/>
      <w:bookmarkStart w:id="37" w:name="_Toc22784"/>
      <w:r>
        <w:rPr>
          <w:rFonts w:ascii="黑体"/>
          <w:b/>
          <w:kern w:val="44"/>
          <w:sz w:val="28"/>
        </w:rPr>
        <w:br w:type="page"/>
      </w: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kern w:val="0"/>
          <w:sz w:val="32"/>
          <w:szCs w:val="32"/>
        </w:rPr>
      </w:pPr>
      <w:bookmarkStart w:id="38" w:name="_Toc2183"/>
      <w:bookmarkStart w:id="39" w:name="_Toc6062"/>
      <w:r>
        <w:rPr>
          <w:rFonts w:hint="eastAsia" w:ascii="黑体" w:hAnsi="黑体" w:eastAsia="黑体" w:cs="宋体"/>
          <w:kern w:val="0"/>
          <w:sz w:val="32"/>
          <w:szCs w:val="32"/>
        </w:rPr>
        <w:t>一、《收入支出决算总表》</w:t>
      </w:r>
      <w:bookmarkEnd w:id="38"/>
      <w:bookmarkEnd w:id="39"/>
    </w:p>
    <w:p>
      <w:pPr>
        <w:ind w:firstLine="640" w:firstLineChars="200"/>
        <w:outlineLvl w:val="1"/>
        <w:rPr>
          <w:rFonts w:ascii="黑体" w:hAnsi="黑体" w:eastAsia="黑体" w:cs="宋体"/>
          <w:kern w:val="0"/>
          <w:sz w:val="32"/>
          <w:szCs w:val="32"/>
        </w:rPr>
      </w:pPr>
      <w:bookmarkStart w:id="40" w:name="_Toc30364"/>
      <w:bookmarkStart w:id="41" w:name="_Toc24532"/>
      <w:r>
        <w:rPr>
          <w:rFonts w:hint="eastAsia" w:ascii="黑体" w:hAnsi="黑体" w:eastAsia="黑体" w:cs="宋体"/>
          <w:kern w:val="0"/>
          <w:sz w:val="32"/>
          <w:szCs w:val="32"/>
        </w:rPr>
        <w:t>二、《收入决算表》</w:t>
      </w:r>
      <w:bookmarkEnd w:id="40"/>
      <w:bookmarkEnd w:id="41"/>
    </w:p>
    <w:p>
      <w:pPr>
        <w:ind w:firstLine="640" w:firstLineChars="200"/>
        <w:outlineLvl w:val="1"/>
        <w:rPr>
          <w:rFonts w:ascii="黑体" w:hAnsi="黑体" w:eastAsia="黑体" w:cs="宋体"/>
          <w:kern w:val="0"/>
          <w:sz w:val="32"/>
          <w:szCs w:val="32"/>
        </w:rPr>
      </w:pPr>
      <w:bookmarkStart w:id="42" w:name="_Toc21304"/>
      <w:bookmarkStart w:id="43" w:name="_Toc32434"/>
      <w:r>
        <w:rPr>
          <w:rFonts w:hint="eastAsia" w:ascii="黑体" w:hAnsi="黑体" w:eastAsia="黑体" w:cs="宋体"/>
          <w:kern w:val="0"/>
          <w:sz w:val="32"/>
          <w:szCs w:val="32"/>
        </w:rPr>
        <w:t>三、《支出决算表》</w:t>
      </w:r>
      <w:bookmarkEnd w:id="42"/>
      <w:bookmarkEnd w:id="43"/>
    </w:p>
    <w:p>
      <w:pPr>
        <w:ind w:firstLine="640" w:firstLineChars="200"/>
        <w:outlineLvl w:val="1"/>
        <w:rPr>
          <w:rFonts w:ascii="黑体" w:hAnsi="黑体" w:eastAsia="黑体" w:cs="宋体"/>
          <w:kern w:val="0"/>
          <w:sz w:val="32"/>
          <w:szCs w:val="32"/>
        </w:rPr>
      </w:pPr>
      <w:bookmarkStart w:id="44" w:name="_Toc14238"/>
      <w:bookmarkStart w:id="45" w:name="_Toc28786"/>
      <w:r>
        <w:rPr>
          <w:rFonts w:hint="eastAsia" w:ascii="黑体" w:hAnsi="黑体" w:eastAsia="黑体" w:cs="宋体"/>
          <w:kern w:val="0"/>
          <w:sz w:val="32"/>
          <w:szCs w:val="32"/>
        </w:rPr>
        <w:t>四、《财政拨款收入支出决算总表》</w:t>
      </w:r>
      <w:bookmarkEnd w:id="44"/>
      <w:bookmarkEnd w:id="45"/>
    </w:p>
    <w:p>
      <w:pPr>
        <w:ind w:firstLine="640" w:firstLineChars="200"/>
        <w:outlineLvl w:val="1"/>
        <w:rPr>
          <w:rFonts w:ascii="黑体" w:hAnsi="黑体" w:eastAsia="黑体" w:cs="宋体"/>
          <w:kern w:val="0"/>
          <w:sz w:val="32"/>
          <w:szCs w:val="32"/>
        </w:rPr>
      </w:pPr>
      <w:bookmarkStart w:id="46" w:name="_Toc10347"/>
      <w:bookmarkStart w:id="47" w:name="_Toc14869"/>
      <w:r>
        <w:rPr>
          <w:rFonts w:hint="eastAsia" w:ascii="黑体" w:hAnsi="黑体" w:eastAsia="黑体" w:cs="宋体"/>
          <w:kern w:val="0"/>
          <w:sz w:val="32"/>
          <w:szCs w:val="32"/>
        </w:rPr>
        <w:t>五、《一般公共预算财政拨款支出决算表》</w:t>
      </w:r>
      <w:bookmarkEnd w:id="46"/>
      <w:bookmarkEnd w:id="47"/>
    </w:p>
    <w:p>
      <w:pPr>
        <w:ind w:firstLine="640" w:firstLineChars="200"/>
        <w:outlineLvl w:val="1"/>
        <w:rPr>
          <w:rFonts w:ascii="黑体" w:hAnsi="黑体" w:eastAsia="黑体" w:cs="宋体"/>
          <w:kern w:val="0"/>
          <w:sz w:val="32"/>
          <w:szCs w:val="32"/>
        </w:rPr>
      </w:pPr>
      <w:bookmarkStart w:id="48" w:name="_Toc8884"/>
      <w:bookmarkStart w:id="49" w:name="_Toc5626"/>
      <w:r>
        <w:rPr>
          <w:rFonts w:hint="eastAsia" w:ascii="黑体" w:hAnsi="黑体" w:eastAsia="黑体" w:cs="宋体"/>
          <w:kern w:val="0"/>
          <w:sz w:val="32"/>
          <w:szCs w:val="32"/>
        </w:rPr>
        <w:t>六、《一般公共预算财政拨款基本支出决算表》</w:t>
      </w:r>
      <w:bookmarkEnd w:id="48"/>
      <w:bookmarkEnd w:id="49"/>
    </w:p>
    <w:p>
      <w:pPr>
        <w:ind w:firstLine="640" w:firstLineChars="200"/>
        <w:outlineLvl w:val="1"/>
        <w:rPr>
          <w:rFonts w:ascii="黑体" w:hAnsi="黑体" w:eastAsia="黑体" w:cs="宋体"/>
          <w:kern w:val="0"/>
          <w:sz w:val="32"/>
          <w:szCs w:val="32"/>
        </w:rPr>
      </w:pPr>
      <w:bookmarkStart w:id="50" w:name="_Toc29106"/>
      <w:bookmarkStart w:id="51" w:name="_Toc32663"/>
      <w:r>
        <w:rPr>
          <w:rFonts w:hint="eastAsia" w:ascii="黑体" w:hAnsi="黑体" w:eastAsia="黑体" w:cs="宋体"/>
          <w:kern w:val="0"/>
          <w:sz w:val="32"/>
          <w:szCs w:val="32"/>
        </w:rPr>
        <w:t>七、《财政拨款“三公”经费支出决算表》</w:t>
      </w:r>
      <w:bookmarkEnd w:id="50"/>
      <w:bookmarkEnd w:id="51"/>
    </w:p>
    <w:p>
      <w:pPr>
        <w:ind w:firstLine="640" w:firstLineChars="200"/>
        <w:outlineLvl w:val="1"/>
        <w:rPr>
          <w:rFonts w:ascii="黑体" w:hAnsi="黑体" w:eastAsia="黑体" w:cs="宋体"/>
          <w:kern w:val="0"/>
          <w:sz w:val="32"/>
          <w:szCs w:val="32"/>
        </w:rPr>
      </w:pPr>
      <w:bookmarkStart w:id="52" w:name="_Toc5453"/>
      <w:bookmarkStart w:id="53" w:name="_Toc7643"/>
      <w:r>
        <w:rPr>
          <w:rFonts w:hint="eastAsia" w:ascii="黑体" w:hAnsi="黑体" w:eastAsia="黑体" w:cs="宋体"/>
          <w:kern w:val="0"/>
          <w:sz w:val="32"/>
          <w:szCs w:val="32"/>
        </w:rPr>
        <w:t>八、《政府性基金预算财政拨款收入支出决算表》</w:t>
      </w:r>
      <w:bookmarkEnd w:id="52"/>
      <w:bookmarkEnd w:id="53"/>
    </w:p>
    <w:p>
      <w:pPr>
        <w:ind w:firstLine="640" w:firstLineChars="200"/>
        <w:outlineLvl w:val="1"/>
        <w:rPr>
          <w:rFonts w:ascii="黑体" w:hAnsi="黑体" w:eastAsia="黑体" w:cs="宋体"/>
          <w:kern w:val="0"/>
          <w:sz w:val="32"/>
          <w:szCs w:val="32"/>
        </w:rPr>
      </w:pPr>
      <w:r>
        <w:rPr>
          <w:rFonts w:hint="eastAsia" w:ascii="黑体" w:hAnsi="黑体" w:eastAsia="黑体" w:cs="宋体"/>
          <w:kern w:val="0"/>
          <w:sz w:val="32"/>
          <w:szCs w:val="32"/>
        </w:rPr>
        <w:t>九、《国有资本经营预算财政拨款收入支出决算表》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00"/>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M3ZDYwNjg1ZjU0OWUzODg2NDlmOWVjNTUxNzAxMzIifQ=="/>
  </w:docVars>
  <w:rsids>
    <w:rsidRoot w:val="00906249"/>
    <w:rsid w:val="00313ACA"/>
    <w:rsid w:val="00354C90"/>
    <w:rsid w:val="00390732"/>
    <w:rsid w:val="005D7EFA"/>
    <w:rsid w:val="00753FA7"/>
    <w:rsid w:val="008B31D3"/>
    <w:rsid w:val="00906249"/>
    <w:rsid w:val="00C55ABB"/>
    <w:rsid w:val="00DE0AA8"/>
    <w:rsid w:val="0224187C"/>
    <w:rsid w:val="05805FE6"/>
    <w:rsid w:val="08BF40AC"/>
    <w:rsid w:val="0C9475FE"/>
    <w:rsid w:val="100131FC"/>
    <w:rsid w:val="1371268C"/>
    <w:rsid w:val="19DE635C"/>
    <w:rsid w:val="1ABC669E"/>
    <w:rsid w:val="1F0B013E"/>
    <w:rsid w:val="23865A9B"/>
    <w:rsid w:val="23A128D5"/>
    <w:rsid w:val="28F2772E"/>
    <w:rsid w:val="29D90FB9"/>
    <w:rsid w:val="32F72D4E"/>
    <w:rsid w:val="338E61E2"/>
    <w:rsid w:val="34D94258"/>
    <w:rsid w:val="385F6EA1"/>
    <w:rsid w:val="397B72CC"/>
    <w:rsid w:val="3A1C285D"/>
    <w:rsid w:val="426C1EA8"/>
    <w:rsid w:val="45036AF3"/>
    <w:rsid w:val="46715CDF"/>
    <w:rsid w:val="49805C74"/>
    <w:rsid w:val="4A600544"/>
    <w:rsid w:val="4BA6642B"/>
    <w:rsid w:val="4BA821A3"/>
    <w:rsid w:val="4C6F2CC0"/>
    <w:rsid w:val="53FD6E04"/>
    <w:rsid w:val="595D29C0"/>
    <w:rsid w:val="638D5EBA"/>
    <w:rsid w:val="63D975BF"/>
    <w:rsid w:val="6A123ADF"/>
    <w:rsid w:val="6B2F1B41"/>
    <w:rsid w:val="6FB326B2"/>
    <w:rsid w:val="73DA3EDC"/>
    <w:rsid w:val="795736D8"/>
    <w:rsid w:val="7CF665B2"/>
    <w:rsid w:val="7F0B50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snapToGrid w:val="0"/>
      <w:jc w:val="left"/>
    </w:pPr>
    <w:rPr>
      <w:sz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style>
  <w:style w:type="paragraph" w:styleId="6">
    <w:name w:val="toc 2"/>
    <w:basedOn w:val="1"/>
    <w:next w:val="1"/>
    <w:qFormat/>
    <w:uiPriority w:val="0"/>
    <w:pPr>
      <w:ind w:left="420" w:leftChars="200"/>
    </w:pPr>
  </w:style>
  <w:style w:type="character" w:customStyle="1" w:styleId="9">
    <w:name w:val="页眉 Char"/>
    <w:basedOn w:val="8"/>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16</Pages>
  <Words>1077</Words>
  <Characters>6145</Characters>
  <Lines>51</Lines>
  <Paragraphs>14</Paragraphs>
  <TotalTime>187</TotalTime>
  <ScaleCrop>false</ScaleCrop>
  <LinksUpToDate>false</LinksUpToDate>
  <CharactersWithSpaces>7208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2023-08-25T01:33:00Z</dcterms:created>
  <dc:creator>dell</dc:creator>
  <cp:lastModifiedBy>Administrator</cp:lastModifiedBy>
  <dcterms:modified xsi:type="dcterms:W3CDTF">2024-06-23T09:54:58Z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DDABDE5B1A2C44BA8D053F9329965A33_12</vt:lpwstr>
  </property>
</Properties>
</file>