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r>
        <w:rPr>
          <w:rFonts w:hint="eastAsia" w:ascii="方正小标宋_GBK" w:hAnsi="方正小标宋_GBK" w:eastAsia="方正小标宋_GBK"/>
          <w:sz w:val="44"/>
          <w:szCs w:val="44"/>
        </w:rPr>
        <w:t>新疆塔城地区额敏县喀拉也木勒镇牧业寄宿制学校2022年度部门决算公开说明</w:t>
      </w:r>
    </w:p>
    <w:p>
      <w:pPr>
        <w:jc w:val="center"/>
        <w:rPr>
          <w:rFonts w:ascii="仿宋_GB2312" w:hAnsi="仿宋_GB2312" w:eastAsia="仿宋_GB2312" w:cs="仿宋_GB2312"/>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sz w:val="32"/>
          <w:szCs w:val="32"/>
        </w:rPr>
        <w:t>第一部分 单位概况</w:t>
      </w:r>
      <w:r>
        <w:rPr>
          <w:rFonts w:hint="eastAsia" w:ascii="仿宋_GB2312" w:hAnsi="仿宋_GB2312" w:eastAsia="仿宋_GB2312" w:cs="仿宋_GB2312"/>
          <w:b/>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kern w:val="0"/>
          <w:sz w:val="32"/>
          <w:szCs w:val="32"/>
        </w:rPr>
        <w:t>一、主要职能</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kern w:val="0"/>
          <w:sz w:val="32"/>
          <w:szCs w:val="32"/>
        </w:rPr>
        <w:t>二、机构设置及人员情况</w:t>
      </w:r>
      <w:r>
        <w:rPr>
          <w:rFonts w:hint="eastAsia" w:ascii="仿宋_GB2312" w:hAnsi="仿宋_GB2312" w:eastAsia="仿宋_GB2312" w:cs="仿宋_GB2312"/>
          <w:kern w:val="0"/>
          <w:sz w:val="32"/>
          <w:szCs w:val="32"/>
        </w:rPr>
        <w:fldChar w:fldCharType="end"/>
      </w:r>
    </w:p>
    <w:p>
      <w:pPr>
        <w:pStyle w:val="6"/>
        <w:tabs>
          <w:tab w:val="right" w:pos="8306"/>
        </w:tabs>
        <w:rPr>
          <w:rFonts w:ascii="仿宋_GB2312" w:hAnsi="仿宋_GB2312" w:eastAsia="仿宋_GB2312" w:cs="仿宋_GB2312"/>
          <w:b/>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sz w:val="32"/>
          <w:szCs w:val="32"/>
        </w:rPr>
        <w:t>第二部分 部门决算情况说明</w:t>
      </w:r>
      <w:r>
        <w:rPr>
          <w:rFonts w:hint="eastAsia" w:ascii="仿宋_GB2312" w:hAnsi="仿宋_GB2312" w:eastAsia="仿宋_GB2312" w:cs="仿宋_GB2312"/>
          <w:b/>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kern w:val="0"/>
          <w:sz w:val="32"/>
          <w:szCs w:val="32"/>
        </w:rPr>
        <w:t>一、收入支出决算总体情况说明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kern w:val="0"/>
          <w:sz w:val="32"/>
          <w:szCs w:val="32"/>
        </w:rPr>
        <w:t>二、收入决算情况说明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kern w:val="0"/>
          <w:sz w:val="32"/>
          <w:szCs w:val="32"/>
        </w:rPr>
        <w:t>三、支出决算情况说明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kern w:val="0"/>
          <w:sz w:val="32"/>
          <w:szCs w:val="32"/>
        </w:rPr>
        <w:t>四、财政拨款收入支出决算总体情况说明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kern w:val="0"/>
          <w:sz w:val="32"/>
          <w:szCs w:val="32"/>
        </w:rPr>
        <w:t>五、一般公共预算财政拨款支出决算情况说明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kern w:val="0"/>
          <w:sz w:val="32"/>
          <w:szCs w:val="32"/>
        </w:rPr>
        <w:t>六、一般公共预算财政拨款基本支出决算情况说明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kern w:val="0"/>
          <w:sz w:val="32"/>
          <w:szCs w:val="32"/>
        </w:rPr>
        <w:t>七、财政拨款“三公”经费支出决算情况说明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kern w:val="0"/>
          <w:sz w:val="32"/>
          <w:szCs w:val="32"/>
        </w:rPr>
        <w:t>八、政府性基金预算财政拨款收入支出决算情况说明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kern w:val="0"/>
          <w:sz w:val="32"/>
          <w:szCs w:val="32"/>
        </w:rPr>
        <w:t>九、国有资本经营预算财政拨款收入支出决算情况说明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kern w:val="0"/>
          <w:sz w:val="32"/>
          <w:szCs w:val="32"/>
        </w:rPr>
        <w:t>十、其他重要事项的情况说明</w:t>
      </w:r>
      <w:r>
        <w:rPr>
          <w:rFonts w:hint="eastAsia" w:ascii="仿宋_GB2312" w:hAnsi="仿宋_GB2312" w:eastAsia="仿宋_GB2312" w:cs="仿宋_GB2312"/>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kern w:val="0"/>
          <w:sz w:val="32"/>
          <w:szCs w:val="32"/>
        </w:rPr>
        <w:t>十一、预算绩效的情况说明</w:t>
      </w:r>
      <w:r>
        <w:rPr>
          <w:rFonts w:hint="eastAsia" w:ascii="仿宋_GB2312" w:hAnsi="仿宋_GB2312" w:eastAsia="仿宋_GB2312" w:cs="仿宋_GB2312"/>
          <w:kern w:val="0"/>
          <w:sz w:val="32"/>
          <w:szCs w:val="32"/>
        </w:rPr>
        <w:fldChar w:fldCharType="end"/>
      </w:r>
    </w:p>
    <w:p>
      <w:pPr>
        <w:pStyle w:val="6"/>
        <w:tabs>
          <w:tab w:val="right" w:pos="8306"/>
        </w:tabs>
        <w:rPr>
          <w:rFonts w:ascii="仿宋_GB2312" w:hAnsi="仿宋_GB2312" w:eastAsia="仿宋_GB2312" w:cs="仿宋_GB2312"/>
          <w:b/>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sz w:val="32"/>
          <w:szCs w:val="32"/>
        </w:rPr>
        <w:t>第三部分 专业名词解释</w:t>
      </w:r>
      <w:r>
        <w:rPr>
          <w:rFonts w:hint="eastAsia" w:ascii="仿宋_GB2312" w:hAnsi="仿宋_GB2312" w:eastAsia="仿宋_GB2312" w:cs="仿宋_GB2312"/>
          <w:b/>
          <w:sz w:val="32"/>
          <w:szCs w:val="32"/>
        </w:rPr>
        <w:fldChar w:fldCharType="end"/>
      </w:r>
    </w:p>
    <w:p>
      <w:pPr>
        <w:pStyle w:val="6"/>
        <w:tabs>
          <w:tab w:val="right" w:pos="8306"/>
        </w:tabs>
        <w:rPr>
          <w:rFonts w:ascii="仿宋_GB2312" w:hAnsi="仿宋_GB2312" w:eastAsia="仿宋_GB2312" w:cs="仿宋_GB2312"/>
          <w:b/>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sz w:val="32"/>
          <w:szCs w:val="32"/>
        </w:rPr>
        <w:t>第四部分 部门决算报表（见附表）</w:t>
      </w:r>
      <w:r>
        <w:rPr>
          <w:rFonts w:hint="eastAsia" w:ascii="仿宋_GB2312" w:hAnsi="仿宋_GB2312" w:eastAsia="仿宋_GB2312" w:cs="仿宋_GB2312"/>
          <w:b/>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kern w:val="0"/>
          <w:sz w:val="32"/>
          <w:szCs w:val="32"/>
        </w:rPr>
        <w:t>一、《收入支出决算总表》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kern w:val="0"/>
          <w:sz w:val="32"/>
          <w:szCs w:val="32"/>
        </w:rPr>
        <w:t>二、《收入决算表》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kern w:val="0"/>
          <w:sz w:val="32"/>
          <w:szCs w:val="32"/>
        </w:rPr>
        <w:t>三、《支出决算表》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kern w:val="0"/>
          <w:sz w:val="32"/>
          <w:szCs w:val="32"/>
        </w:rPr>
        <w:t>四、《财政拨款收入支出决算总表》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kern w:val="0"/>
          <w:sz w:val="32"/>
          <w:szCs w:val="32"/>
        </w:rPr>
        <w:t>五、《一般公共预算财政拨款支出决算表》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kern w:val="0"/>
          <w:sz w:val="32"/>
          <w:szCs w:val="32"/>
        </w:rPr>
        <w:t>六、《一般公共预算财政拨款基本支出决算表》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kern w:val="0"/>
          <w:sz w:val="32"/>
          <w:szCs w:val="32"/>
        </w:rPr>
        <w:t>七、《财政拨款“三公”经费支出决算表》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kern w:val="0"/>
          <w:sz w:val="32"/>
          <w:szCs w:val="32"/>
        </w:rPr>
        <w:t>八、《政府性基金预算财政拨款收入支出决算表》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kern w:val="0"/>
          <w:sz w:val="32"/>
          <w:szCs w:val="32"/>
        </w:rPr>
        <w:t>九、《国有资本经营预算财政拨款收入支出决算表》</w:t>
      </w:r>
      <w:r>
        <w:rPr>
          <w:rFonts w:hint="eastAsia" w:ascii="仿宋_GB2312" w:hAnsi="仿宋_GB2312" w:eastAsia="仿宋_GB2312" w:cs="仿宋_GB2312"/>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kern w:val="0"/>
          <w:sz w:val="32"/>
          <w:szCs w:val="32"/>
        </w:rPr>
      </w:pPr>
      <w:bookmarkStart w:id="2" w:name="_Toc30738"/>
      <w:bookmarkStart w:id="3" w:name="_Toc30567"/>
      <w:r>
        <w:rPr>
          <w:rFonts w:hint="eastAsia" w:ascii="黑体" w:hAnsi="黑体" w:eastAsia="黑体" w:cs="宋体"/>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(1)宣传贯彻执行党和国家的教育方针、政策和法律法规及上级行政部门的行政规章；</w:t>
      </w:r>
      <w:r>
        <w:rPr>
          <w:rFonts w:hint="eastAsia" w:ascii="仿宋_GB2312" w:eastAsia="仿宋_GB2312"/>
          <w:sz w:val="32"/>
          <w:szCs w:val="32"/>
        </w:rPr>
        <w:br w:type="textWrapping"/>
      </w:r>
      <w:r>
        <w:rPr>
          <w:rFonts w:hint="eastAsia" w:ascii="仿宋_GB2312" w:eastAsia="仿宋_GB2312"/>
          <w:sz w:val="32"/>
          <w:szCs w:val="32"/>
        </w:rPr>
        <w:t>　</w:t>
      </w:r>
      <w:r>
        <w:rPr>
          <w:rFonts w:hint="eastAsia" w:ascii="仿宋_GB2312" w:eastAsia="仿宋_GB2312"/>
          <w:sz w:val="32"/>
          <w:szCs w:val="32"/>
          <w:lang w:val="en-US" w:eastAsia="zh-CN"/>
        </w:rPr>
        <w:t xml:space="preserve">  </w:t>
      </w:r>
      <w:r>
        <w:rPr>
          <w:rFonts w:hint="eastAsia" w:ascii="仿宋_GB2312" w:eastAsia="仿宋_GB2312"/>
          <w:sz w:val="32"/>
          <w:szCs w:val="32"/>
        </w:rPr>
        <w:t>(2)根据县人民政府制定的教育事业发展政策，实施九年义务教育，扫除青壮年文盲。</w:t>
      </w:r>
      <w:r>
        <w:rPr>
          <w:rFonts w:hint="eastAsia" w:ascii="仿宋_GB2312" w:eastAsia="仿宋_GB2312"/>
          <w:sz w:val="32"/>
          <w:szCs w:val="32"/>
        </w:rPr>
        <w:br w:type="textWrapping"/>
      </w:r>
      <w:r>
        <w:rPr>
          <w:rFonts w:hint="eastAsia" w:ascii="仿宋_GB2312" w:eastAsia="仿宋_GB2312"/>
          <w:sz w:val="32"/>
          <w:szCs w:val="32"/>
        </w:rPr>
        <w:t>　</w:t>
      </w:r>
      <w:r>
        <w:rPr>
          <w:rFonts w:hint="eastAsia" w:ascii="仿宋_GB2312" w:eastAsia="仿宋_GB2312"/>
          <w:sz w:val="32"/>
          <w:szCs w:val="32"/>
          <w:lang w:val="en-US" w:eastAsia="zh-CN"/>
        </w:rPr>
        <w:t xml:space="preserve">  </w:t>
      </w:r>
      <w:r>
        <w:rPr>
          <w:rFonts w:hint="eastAsia" w:ascii="仿宋_GB2312" w:eastAsia="仿宋_GB2312"/>
          <w:sz w:val="32"/>
          <w:szCs w:val="32"/>
        </w:rPr>
        <w:t>(3)按照干部和教师的人数、编制和管理权限，负责对本校 的干部和教师进行管理；</w:t>
      </w:r>
      <w:r>
        <w:rPr>
          <w:rFonts w:hint="eastAsia" w:ascii="仿宋_GB2312" w:eastAsia="仿宋_GB2312"/>
          <w:sz w:val="32"/>
          <w:szCs w:val="32"/>
        </w:rPr>
        <w:br w:type="textWrapping"/>
      </w:r>
      <w:r>
        <w:rPr>
          <w:rFonts w:hint="eastAsia" w:ascii="仿宋_GB2312" w:eastAsia="仿宋_GB2312"/>
          <w:sz w:val="32"/>
          <w:szCs w:val="32"/>
        </w:rPr>
        <w:t>　</w:t>
      </w:r>
      <w:r>
        <w:rPr>
          <w:rFonts w:hint="eastAsia" w:ascii="仿宋_GB2312" w:eastAsia="仿宋_GB2312"/>
          <w:sz w:val="32"/>
          <w:szCs w:val="32"/>
          <w:lang w:val="en-US" w:eastAsia="zh-CN"/>
        </w:rPr>
        <w:t xml:space="preserve">  </w:t>
      </w:r>
      <w:r>
        <w:rPr>
          <w:rFonts w:hint="eastAsia" w:ascii="仿宋_GB2312" w:eastAsia="仿宋_GB2312"/>
          <w:sz w:val="32"/>
          <w:szCs w:val="32"/>
        </w:rPr>
        <w:t>(4)按照上级有关部门的规定，负责对本校义务教育的基建进行管理；</w:t>
      </w:r>
      <w:r>
        <w:rPr>
          <w:rFonts w:hint="eastAsia" w:ascii="仿宋_GB2312" w:eastAsia="仿宋_GB2312"/>
          <w:sz w:val="32"/>
          <w:szCs w:val="32"/>
        </w:rPr>
        <w:br w:type="textWrapping"/>
      </w:r>
      <w:r>
        <w:rPr>
          <w:rFonts w:hint="eastAsia" w:ascii="仿宋_GB2312" w:eastAsia="仿宋_GB2312"/>
          <w:sz w:val="32"/>
          <w:szCs w:val="32"/>
        </w:rPr>
        <w:t>　</w:t>
      </w:r>
      <w:r>
        <w:rPr>
          <w:rFonts w:hint="eastAsia" w:ascii="仿宋_GB2312" w:eastAsia="仿宋_GB2312"/>
          <w:sz w:val="32"/>
          <w:szCs w:val="32"/>
          <w:lang w:val="en-US" w:eastAsia="zh-CN"/>
        </w:rPr>
        <w:t xml:space="preserve">  </w:t>
      </w:r>
      <w:r>
        <w:rPr>
          <w:rFonts w:hint="eastAsia" w:ascii="仿宋_GB2312" w:eastAsia="仿宋_GB2312"/>
          <w:sz w:val="32"/>
          <w:szCs w:val="32"/>
        </w:rPr>
        <w:t>(5)按照九年义务教育课程计划，开齐课程、开足课时，认真实施小学的教育教学管理，推进素质教育，全面提高教育教学质量。</w:t>
      </w:r>
    </w:p>
    <w:p>
      <w:pPr>
        <w:ind w:firstLine="640" w:firstLineChars="200"/>
        <w:outlineLvl w:val="1"/>
        <w:rPr>
          <w:rFonts w:ascii="黑体" w:hAnsi="黑体" w:eastAsia="黑体" w:cs="宋体"/>
          <w:kern w:val="0"/>
          <w:sz w:val="32"/>
          <w:szCs w:val="32"/>
        </w:rPr>
      </w:pPr>
      <w:bookmarkStart w:id="4" w:name="_Toc31238"/>
      <w:bookmarkStart w:id="5" w:name="_Toc2151"/>
      <w:r>
        <w:rPr>
          <w:rFonts w:hint="eastAsia" w:ascii="黑体" w:hAnsi="黑体" w:eastAsia="黑体" w:cs="宋体"/>
          <w:kern w:val="0"/>
          <w:sz w:val="32"/>
          <w:szCs w:val="32"/>
        </w:rPr>
        <w:t>二、机构设置及</w:t>
      </w:r>
      <w:bookmarkEnd w:id="4"/>
      <w:r>
        <w:rPr>
          <w:rFonts w:hint="eastAsia" w:ascii="黑体" w:hAnsi="黑体" w:eastAsia="黑体" w:cs="宋体"/>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新疆塔城地区额敏县喀拉也木勒镇牧业寄宿制学校2022年度，实有人数194人，其中：在职人员145人，离休人员0人，退休人员49人。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从部门决算单位构成看，新疆塔城地区额敏县喀拉也木勒镇牧业寄宿制学校部门决算包括：新疆塔城地区额敏县喀拉也木勒镇牧业寄宿制学校决算。单位无下属预算单位，下设</w:t>
      </w:r>
      <w:r>
        <w:rPr>
          <w:rFonts w:hint="eastAsia" w:ascii="仿宋_GB2312" w:eastAsia="仿宋_GB2312"/>
          <w:sz w:val="32"/>
          <w:szCs w:val="32"/>
          <w:lang w:val="en-US" w:eastAsia="zh-CN"/>
        </w:rPr>
        <w:t>8</w:t>
      </w:r>
      <w:r>
        <w:rPr>
          <w:rFonts w:hint="eastAsia" w:ascii="仿宋_GB2312" w:eastAsia="仿宋_GB2312"/>
          <w:sz w:val="32"/>
          <w:szCs w:val="32"/>
        </w:rPr>
        <w:t>个处室，分别是：办公室、财务室、教务处、德育处、安全办公室、党建室公室、医务室、实验室。</w:t>
      </w:r>
    </w:p>
    <w:p>
      <w:pPr>
        <w:ind w:firstLine="562" w:firstLineChars="200"/>
        <w:jc w:val="center"/>
        <w:outlineLvl w:val="0"/>
        <w:rPr>
          <w:rFonts w:ascii="黑体" w:hAnsi="黑体" w:eastAsia="黑体"/>
          <w:sz w:val="32"/>
          <w:szCs w:val="32"/>
        </w:rPr>
      </w:pPr>
      <w:bookmarkStart w:id="6" w:name="_Toc29374"/>
      <w:bookmarkStart w:id="7" w:name="_Toc3092"/>
      <w:r>
        <w:rPr>
          <w:rFonts w:ascii="黑体"/>
          <w:b/>
          <w:kern w:val="44"/>
          <w:sz w:val="28"/>
        </w:rPr>
        <w:br w:type="page"/>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kern w:val="0"/>
          <w:sz w:val="32"/>
          <w:szCs w:val="32"/>
        </w:rPr>
      </w:pPr>
      <w:bookmarkStart w:id="8" w:name="_Toc12566"/>
      <w:bookmarkStart w:id="9" w:name="_Toc25314"/>
      <w:r>
        <w:rPr>
          <w:rFonts w:hint="eastAsia" w:ascii="黑体" w:hAnsi="黑体" w:eastAsia="黑体" w:cs="宋体"/>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2022年度收入总计2,658.34万元，其中：本年收入合计2,658.34万元，使用非财政拨款结余0.00万元，年初结转和结余0.00万元。收入总计与上年相比，增加544.93万元，增长25.78%，主要原因是：本年基本工资调资，发放奖励性绩效，发放2017年3个月绩效，2020年3个月绩效。</w:t>
      </w:r>
    </w:p>
    <w:p>
      <w:pPr>
        <w:ind w:firstLine="640" w:firstLineChars="200"/>
        <w:rPr>
          <w:rFonts w:ascii="仿宋_GB2312" w:eastAsia="仿宋_GB2312"/>
          <w:sz w:val="32"/>
          <w:szCs w:val="32"/>
        </w:rPr>
      </w:pPr>
      <w:r>
        <w:rPr>
          <w:rFonts w:hint="eastAsia" w:ascii="仿宋_GB2312" w:eastAsia="仿宋_GB2312"/>
          <w:sz w:val="32"/>
          <w:szCs w:val="32"/>
        </w:rPr>
        <w:t>本年支出总计2,658.34万元，其中：本年支出合计2,658.34万元，结余分配0.00万元，年末结转和结余0.00万元。支出总计与上年相比，增加544.93万元，增长25.78%，主要原因是：本年基本工资调资，发放奖励性绩效，发放2017年3个月绩效，2020年3个月绩效。</w:t>
      </w:r>
    </w:p>
    <w:p>
      <w:pPr>
        <w:ind w:firstLine="640" w:firstLineChars="200"/>
        <w:outlineLvl w:val="1"/>
        <w:rPr>
          <w:rFonts w:ascii="黑体" w:hAnsi="黑体" w:eastAsia="黑体" w:cs="宋体"/>
          <w:kern w:val="0"/>
          <w:sz w:val="32"/>
          <w:szCs w:val="32"/>
        </w:rPr>
      </w:pPr>
      <w:bookmarkStart w:id="10" w:name="_Toc1979"/>
      <w:bookmarkStart w:id="11" w:name="_Toc12142"/>
      <w:r>
        <w:rPr>
          <w:rFonts w:hint="eastAsia" w:ascii="黑体" w:hAnsi="黑体" w:eastAsia="黑体" w:cs="宋体"/>
          <w:kern w:val="0"/>
          <w:sz w:val="32"/>
          <w:szCs w:val="32"/>
        </w:rPr>
        <w:t>二、收入决算情况说明</w:t>
      </w:r>
      <w:bookmarkEnd w:id="10"/>
      <w:bookmarkEnd w:id="11"/>
    </w:p>
    <w:p>
      <w:pPr>
        <w:ind w:firstLine="640" w:firstLineChars="200"/>
        <w:rPr>
          <w:rFonts w:ascii="仿宋_GB2312" w:eastAsia="仿宋_GB2312"/>
          <w:sz w:val="32"/>
          <w:szCs w:val="32"/>
        </w:rPr>
      </w:pPr>
      <w:r>
        <w:rPr>
          <w:rFonts w:hint="eastAsia" w:ascii="仿宋_GB2312" w:eastAsia="仿宋_GB2312"/>
          <w:sz w:val="32"/>
          <w:szCs w:val="32"/>
        </w:rPr>
        <w:t>2022年度本年收入2,658.34万元，其中：财政拨款收入2,658.34万元，占100.00%；上级补助收入0.00万元，占0.00%；事业收入0.00万元，占0.00%；经营收入0.00万元，占0.00%；附属单位上缴收入0.00万元，占0.00%；其他收入0.00万元，占0.00%。</w:t>
      </w:r>
    </w:p>
    <w:p>
      <w:pPr>
        <w:ind w:firstLine="640" w:firstLineChars="200"/>
        <w:outlineLvl w:val="1"/>
        <w:rPr>
          <w:rFonts w:ascii="黑体" w:hAnsi="黑体" w:eastAsia="黑体" w:cs="宋体"/>
          <w:kern w:val="0"/>
          <w:sz w:val="32"/>
          <w:szCs w:val="32"/>
        </w:rPr>
      </w:pPr>
      <w:bookmarkStart w:id="12" w:name="_Toc27961"/>
      <w:bookmarkStart w:id="13" w:name="_Toc13201"/>
      <w:r>
        <w:rPr>
          <w:rFonts w:hint="eastAsia" w:ascii="黑体" w:hAnsi="黑体" w:eastAsia="黑体" w:cs="宋体"/>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2022年度本年支出2,658.34万元，其中：基本支出2,370.32万元，占89.17%；项目支出288.03万元，占10.83%；上缴上级支出0.00万元，占0.00%；经营支出0.00万元，占0.00%；对附属单位补助支出0.00万元，占0.00%。</w:t>
      </w:r>
    </w:p>
    <w:p>
      <w:pPr>
        <w:ind w:firstLine="640" w:firstLineChars="200"/>
        <w:outlineLvl w:val="1"/>
        <w:rPr>
          <w:rFonts w:ascii="黑体" w:hAnsi="黑体" w:eastAsia="黑体" w:cs="宋体"/>
          <w:kern w:val="0"/>
          <w:sz w:val="32"/>
          <w:szCs w:val="32"/>
        </w:rPr>
      </w:pPr>
      <w:bookmarkStart w:id="14" w:name="_Toc26564"/>
      <w:bookmarkStart w:id="15" w:name="_Toc4393"/>
      <w:r>
        <w:rPr>
          <w:rFonts w:hint="eastAsia" w:ascii="黑体" w:hAnsi="黑体" w:eastAsia="黑体" w:cs="宋体"/>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2022年度财政拨款收入总计2,658.34万元，其中：年初财政拨款结转和结余0.00万元，财政拨款本年收入2,658.34万元。财政拨款收入总计与上年相比，增加544.93万元，增长25.78%，主要原因是：本年基本工资调资，发放奖励性绩效，发放2017年3个月绩效，2020年3个月绩效。</w:t>
      </w:r>
    </w:p>
    <w:p>
      <w:pPr>
        <w:ind w:firstLine="640" w:firstLineChars="200"/>
        <w:rPr>
          <w:rFonts w:ascii="仿宋_GB2312" w:eastAsia="仿宋_GB2312"/>
          <w:sz w:val="32"/>
          <w:szCs w:val="32"/>
        </w:rPr>
      </w:pPr>
      <w:r>
        <w:rPr>
          <w:rFonts w:hint="eastAsia" w:ascii="仿宋_GB2312" w:eastAsia="仿宋_GB2312"/>
          <w:sz w:val="32"/>
          <w:szCs w:val="32"/>
        </w:rPr>
        <w:t>财政拨款支出总计2,658.34万元，其中：年末财政拨款结转和结余0.00万元，财政拨款本年支出2,658.34万元。财政拨款支出总计与上年相比，增加544.93万元，增长25.78%，主要原因是：本年基本工资调资，发放奖励性绩效，发放2017年3个月绩效，2020年3个月绩效。</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2,451.79万元，决算数2,658.34万元，预决算差异率8.42%，主要原因是：本年基本工资调资，发放奖励性绩效，发放2017年3个月绩效，2020年3个月绩效，年中追加预算,故预决算存在差异。财政拨款支出总计年初预算数2,451.79万元，决算数2,658.34万元，预决算差异率8.42%，主要原因是：本年基本工资调资，发放奖励性绩效，发放2017年3个月绩效，2020年3个月绩效，年中追加预算,故预决算存在差异。</w:t>
      </w:r>
    </w:p>
    <w:p>
      <w:pPr>
        <w:ind w:firstLine="640" w:firstLineChars="200"/>
        <w:outlineLvl w:val="1"/>
        <w:rPr>
          <w:rFonts w:ascii="黑体" w:hAnsi="黑体" w:eastAsia="黑体" w:cs="宋体"/>
          <w:kern w:val="0"/>
          <w:sz w:val="32"/>
          <w:szCs w:val="32"/>
        </w:rPr>
      </w:pPr>
      <w:bookmarkStart w:id="16" w:name="_Toc20360"/>
      <w:bookmarkStart w:id="17" w:name="_Toc13833"/>
      <w:r>
        <w:rPr>
          <w:rFonts w:hint="eastAsia" w:ascii="黑体" w:hAnsi="黑体" w:eastAsia="黑体" w:cs="宋体"/>
          <w:kern w:val="0"/>
          <w:sz w:val="32"/>
          <w:szCs w:val="32"/>
        </w:rPr>
        <w:t>五、一般公共预算财政拨款支出决算情况说明</w:t>
      </w:r>
      <w:bookmarkEnd w:id="16"/>
      <w:bookmarkEnd w:id="17"/>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2022年度一般公共预算财政拨款支出2,658.34万元，占本年支出合计的100.00%，与上年相比，增加544.93万元，增长25.78%，主要原因是：本年基本工资调资，发放奖励性绩效，发放2017年3个月绩效，2020年3个月绩效。</w:t>
      </w:r>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（二）一般公共预算财政拨款支出决算结构情况</w:t>
      </w:r>
    </w:p>
    <w:p>
      <w:pPr>
        <w:ind w:firstLine="640" w:firstLineChars="200"/>
        <w:rPr>
          <w:rFonts w:ascii="仿宋_GB2312" w:eastAsia="仿宋_GB2312"/>
          <w:sz w:val="32"/>
          <w:szCs w:val="32"/>
        </w:rPr>
      </w:pPr>
      <w:r>
        <w:rPr>
          <w:rFonts w:hint="eastAsia" w:ascii="仿宋_GB2312" w:eastAsia="仿宋_GB2312"/>
          <w:sz w:val="32"/>
          <w:szCs w:val="32"/>
        </w:rPr>
        <w:t>1.教育支出（类）2,148.20万元，占80.81%。</w:t>
      </w:r>
    </w:p>
    <w:p>
      <w:pPr>
        <w:ind w:firstLine="640" w:firstLineChars="200"/>
        <w:rPr>
          <w:rFonts w:ascii="仿宋_GB2312" w:eastAsia="仿宋_GB2312"/>
          <w:sz w:val="32"/>
          <w:szCs w:val="32"/>
        </w:rPr>
      </w:pPr>
      <w:r>
        <w:rPr>
          <w:rFonts w:hint="eastAsia" w:ascii="仿宋_GB2312" w:eastAsia="仿宋_GB2312"/>
          <w:sz w:val="32"/>
          <w:szCs w:val="32"/>
        </w:rPr>
        <w:t>2.社会保障和就业支出（类）243.20万元，占9.15%。</w:t>
      </w:r>
    </w:p>
    <w:p>
      <w:pPr>
        <w:ind w:firstLine="640" w:firstLineChars="200"/>
        <w:rPr>
          <w:rFonts w:ascii="仿宋_GB2312" w:eastAsia="仿宋_GB2312"/>
          <w:sz w:val="32"/>
          <w:szCs w:val="32"/>
        </w:rPr>
      </w:pPr>
      <w:r>
        <w:rPr>
          <w:rFonts w:hint="eastAsia" w:ascii="仿宋_GB2312" w:eastAsia="仿宋_GB2312"/>
          <w:sz w:val="32"/>
          <w:szCs w:val="32"/>
        </w:rPr>
        <w:t>3.卫生健康支出（类）97.11万元，占3.65%。</w:t>
      </w:r>
    </w:p>
    <w:p>
      <w:pPr>
        <w:ind w:firstLine="640" w:firstLineChars="200"/>
        <w:rPr>
          <w:rFonts w:ascii="仿宋_GB2312" w:eastAsia="仿宋_GB2312"/>
          <w:sz w:val="32"/>
          <w:szCs w:val="32"/>
        </w:rPr>
      </w:pPr>
      <w:r>
        <w:rPr>
          <w:rFonts w:hint="eastAsia" w:ascii="仿宋_GB2312" w:eastAsia="仿宋_GB2312"/>
          <w:sz w:val="32"/>
          <w:szCs w:val="32"/>
        </w:rPr>
        <w:t>4.住房保障支出（类）169.84万元，占6.39%。</w:t>
      </w:r>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（三）一般公共预算财政拨款支出决算具体情况</w:t>
      </w:r>
    </w:p>
    <w:p>
      <w:pPr>
        <w:ind w:firstLine="640" w:firstLineChars="200"/>
        <w:rPr>
          <w:rFonts w:ascii="仿宋_GB2312" w:eastAsia="仿宋_GB2312"/>
          <w:sz w:val="32"/>
          <w:szCs w:val="32"/>
        </w:rPr>
      </w:pPr>
      <w:r>
        <w:rPr>
          <w:rFonts w:hint="eastAsia" w:ascii="仿宋_GB2312" w:eastAsia="仿宋_GB2312"/>
          <w:sz w:val="32"/>
          <w:szCs w:val="32"/>
        </w:rPr>
        <w:t>1.教育支出（类）普通教育（款）学前教育（项）：支出决算数为272.68万元，比上年决算增加38.38万元，增长16.38%，主要原因是：本年基本工资调资，发放奖励性绩效，发放2017年3个月绩效，2020年3个月绩效。</w:t>
      </w:r>
    </w:p>
    <w:p>
      <w:pPr>
        <w:ind w:firstLine="640" w:firstLineChars="200"/>
        <w:rPr>
          <w:rFonts w:ascii="仿宋_GB2312" w:eastAsia="仿宋_GB2312"/>
          <w:sz w:val="32"/>
          <w:szCs w:val="32"/>
        </w:rPr>
      </w:pPr>
      <w:r>
        <w:rPr>
          <w:rFonts w:hint="eastAsia" w:ascii="仿宋_GB2312" w:eastAsia="仿宋_GB2312"/>
          <w:sz w:val="32"/>
          <w:szCs w:val="32"/>
        </w:rPr>
        <w:t>2.教育支出（类）普通教育（款）小学教育（项）：支出决算数为1,229.41万元，比上年决算增加285.40万元，增长30.23%，主要原因是：本年基本工资调资，发放奖励性绩效，发放2017年3个月绩效，2020年3个月绩效。</w:t>
      </w:r>
    </w:p>
    <w:p>
      <w:pPr>
        <w:ind w:firstLine="640" w:firstLineChars="200"/>
        <w:rPr>
          <w:rFonts w:ascii="仿宋_GB2312" w:eastAsia="仿宋_GB2312"/>
          <w:sz w:val="32"/>
          <w:szCs w:val="32"/>
        </w:rPr>
      </w:pPr>
      <w:r>
        <w:rPr>
          <w:rFonts w:hint="eastAsia" w:ascii="仿宋_GB2312" w:eastAsia="仿宋_GB2312"/>
          <w:sz w:val="32"/>
          <w:szCs w:val="32"/>
        </w:rPr>
        <w:t>3.教育支出（类）普通教育（款）初中教育（项）：支出决算数为646.11万元，比上年决算增加154.49万元，增长31.42%，主要原因是：本年基本工资调资，发放奖励性绩效，发放2017年3个月绩效，2020年3个月绩效。</w:t>
      </w:r>
    </w:p>
    <w:p>
      <w:pPr>
        <w:ind w:firstLine="640" w:firstLineChars="200"/>
        <w:rPr>
          <w:rFonts w:ascii="仿宋_GB2312" w:eastAsia="仿宋_GB2312"/>
          <w:sz w:val="32"/>
          <w:szCs w:val="32"/>
        </w:rPr>
      </w:pPr>
      <w:r>
        <w:rPr>
          <w:rFonts w:hint="eastAsia" w:ascii="仿宋_GB2312" w:eastAsia="仿宋_GB2312"/>
          <w:sz w:val="32"/>
          <w:szCs w:val="32"/>
        </w:rPr>
        <w:t>4.社会保障和就业支出（类）行政事业单位养老支出（款）事业单位离退休（项）：支出决算数为42.73万元，比上年决算增加7.61万元，增长21.67%，主要原因是：2022年年初发放退休基础绩效，我单位退休死亡人员发放抚恤金，事业单位离退休</w:t>
      </w:r>
      <w:r>
        <w:rPr>
          <w:rFonts w:hint="eastAsia" w:ascii="仿宋_GB2312" w:eastAsia="仿宋_GB2312"/>
          <w:sz w:val="32"/>
          <w:szCs w:val="32"/>
          <w:lang w:eastAsia="zh-CN"/>
        </w:rPr>
        <w:t>支出</w:t>
      </w:r>
      <w:r>
        <w:rPr>
          <w:rFonts w:hint="eastAsia" w:ascii="仿宋_GB2312" w:eastAsia="仿宋_GB2312"/>
          <w:sz w:val="32"/>
          <w:szCs w:val="32"/>
        </w:rPr>
        <w:t>增加。</w:t>
      </w:r>
    </w:p>
    <w:p>
      <w:pPr>
        <w:ind w:firstLine="640" w:firstLineChars="200"/>
        <w:rPr>
          <w:rFonts w:ascii="仿宋_GB2312" w:eastAsia="仿宋_GB2312"/>
          <w:sz w:val="32"/>
          <w:szCs w:val="32"/>
        </w:rPr>
      </w:pPr>
      <w:r>
        <w:rPr>
          <w:rFonts w:hint="eastAsia" w:ascii="仿宋_GB2312" w:eastAsia="仿宋_GB2312"/>
          <w:sz w:val="32"/>
          <w:szCs w:val="32"/>
        </w:rPr>
        <w:t>5.社会保障和就业支出（类）行政事业单位养老支出（款）机关事业单位基本养老保险缴费支出（项）：支出决算数为195.80万元，比上年决算增加19.74万元，增长11.21%，主要原因是：全体教职工工资正常晋升、绩效工资调标，机关事业单位基本养老保险基数提高，单位的机关事业单位基本养老保险增加。</w:t>
      </w:r>
    </w:p>
    <w:p>
      <w:pPr>
        <w:ind w:firstLine="640" w:firstLineChars="200"/>
        <w:rPr>
          <w:rFonts w:ascii="仿宋_GB2312" w:eastAsia="仿宋_GB2312"/>
          <w:sz w:val="32"/>
          <w:szCs w:val="32"/>
        </w:rPr>
      </w:pPr>
      <w:r>
        <w:rPr>
          <w:rFonts w:hint="eastAsia" w:ascii="仿宋_GB2312" w:eastAsia="仿宋_GB2312"/>
          <w:sz w:val="32"/>
          <w:szCs w:val="32"/>
        </w:rPr>
        <w:t>6.社会保障和就业支出（类）行政事业单位养老支出（款）机关事业单位职业年金缴费支出（项）：支出决算数为4.67万元，比上年决算增加4.67万元，增长100%，主要原因是：2021年下半年一名教师退休，职业年金2022年1月份发放。</w:t>
      </w:r>
    </w:p>
    <w:p>
      <w:pPr>
        <w:ind w:firstLine="640" w:firstLineChars="200"/>
        <w:rPr>
          <w:rFonts w:ascii="仿宋_GB2312" w:eastAsia="仿宋_GB2312"/>
          <w:sz w:val="32"/>
          <w:szCs w:val="32"/>
        </w:rPr>
      </w:pPr>
      <w:r>
        <w:rPr>
          <w:rFonts w:hint="eastAsia" w:ascii="仿宋_GB2312" w:eastAsia="仿宋_GB2312"/>
          <w:sz w:val="32"/>
          <w:szCs w:val="32"/>
        </w:rPr>
        <w:t>7.卫生健康支出（类）行政事业单位医疗（款）事业单位医疗（项）：支出决算数为97.11万元，比上年决算减少3.06万元，下降3.05%，主要原因是：2022年事业单位医疗缴费比率下降，事业单位医疗支出比上年决算减少。</w:t>
      </w:r>
    </w:p>
    <w:p>
      <w:pPr>
        <w:ind w:firstLine="640" w:firstLineChars="200"/>
        <w:rPr>
          <w:rFonts w:ascii="仿宋_GB2312" w:eastAsia="仿宋_GB2312"/>
          <w:sz w:val="32"/>
          <w:szCs w:val="32"/>
        </w:rPr>
      </w:pPr>
      <w:r>
        <w:rPr>
          <w:rFonts w:hint="eastAsia" w:ascii="仿宋_GB2312" w:eastAsia="仿宋_GB2312"/>
          <w:sz w:val="32"/>
          <w:szCs w:val="32"/>
        </w:rPr>
        <w:t>8.住房保障支出（类）住房改革支出（款）住房公积金（项）：支出决算数为169.84万元，比上年决算增加37.72万元，增长28.55%，主要原因是：全体教职工工资正常晋升、绩效工资调标，工资基数增加，住房公积金基数提高，单位的住房公积金增加。</w:t>
      </w:r>
    </w:p>
    <w:p>
      <w:pPr>
        <w:ind w:firstLine="640" w:firstLineChars="200"/>
        <w:outlineLvl w:val="1"/>
        <w:rPr>
          <w:rFonts w:ascii="黑体" w:hAnsi="黑体" w:eastAsia="黑体" w:cs="宋体"/>
          <w:kern w:val="0"/>
          <w:sz w:val="32"/>
          <w:szCs w:val="32"/>
        </w:rPr>
      </w:pPr>
      <w:bookmarkStart w:id="18" w:name="_Toc30870"/>
      <w:bookmarkStart w:id="19" w:name="_Toc11146"/>
      <w:r>
        <w:rPr>
          <w:rFonts w:hint="eastAsia" w:ascii="黑体" w:hAnsi="黑体" w:eastAsia="黑体" w:cs="宋体"/>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hint="eastAsia" w:ascii="仿宋_GB2312" w:eastAsia="仿宋_GB2312"/>
          <w:sz w:val="32"/>
          <w:szCs w:val="32"/>
        </w:rPr>
        <w:t>2022年度一般公共预算财政拨款基本支出2,370.32万元，其中：</w:t>
      </w:r>
    </w:p>
    <w:p>
      <w:pPr>
        <w:ind w:firstLine="640" w:firstLineChars="200"/>
        <w:rPr>
          <w:rFonts w:ascii="仿宋_GB2312" w:eastAsia="仿宋_GB2312"/>
          <w:sz w:val="32"/>
          <w:szCs w:val="32"/>
        </w:rPr>
      </w:pPr>
      <w:r>
        <w:rPr>
          <w:rFonts w:hint="eastAsia" w:ascii="仿宋_GB2312" w:eastAsia="仿宋_GB2312"/>
          <w:sz w:val="32"/>
          <w:szCs w:val="32"/>
        </w:rPr>
        <w:t>人员经费2,348.42万元，包括：基本工资、津贴补贴、奖金、绩效工资、机关事业单位基本养老保险缴费、职业年金缴费、职工基本医疗保险缴费、其他社会保障缴费、住房公积金、其他工资福利支出、退休费、抚恤金、生活补助、助学金、奖励金。</w:t>
      </w:r>
    </w:p>
    <w:p>
      <w:pPr>
        <w:ind w:firstLine="640" w:firstLineChars="200"/>
        <w:rPr>
          <w:rFonts w:ascii="仿宋_GB2312" w:eastAsia="仿宋_GB2312"/>
          <w:sz w:val="32"/>
          <w:szCs w:val="32"/>
        </w:rPr>
      </w:pPr>
      <w:r>
        <w:rPr>
          <w:rFonts w:hint="eastAsia" w:ascii="仿宋_GB2312" w:eastAsia="仿宋_GB2312"/>
          <w:sz w:val="32"/>
          <w:szCs w:val="32"/>
        </w:rPr>
        <w:t>公用经费21.89万元，包括：取暖费。</w:t>
      </w:r>
    </w:p>
    <w:p>
      <w:pPr>
        <w:ind w:firstLine="640" w:firstLineChars="200"/>
        <w:outlineLvl w:val="1"/>
        <w:rPr>
          <w:rFonts w:ascii="黑体" w:hAnsi="黑体" w:eastAsia="黑体" w:cs="宋体"/>
          <w:kern w:val="0"/>
          <w:sz w:val="32"/>
          <w:szCs w:val="32"/>
        </w:rPr>
      </w:pPr>
      <w:bookmarkStart w:id="20" w:name="_Toc21518"/>
      <w:bookmarkStart w:id="21" w:name="_Toc7190"/>
      <w:r>
        <w:rPr>
          <w:rFonts w:hint="eastAsia" w:ascii="黑体" w:hAnsi="黑体" w:eastAsia="黑体" w:cs="宋体"/>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hint="eastAsia" w:ascii="仿宋_GB2312" w:eastAsia="仿宋_GB2312"/>
          <w:sz w:val="32"/>
          <w:szCs w:val="32"/>
        </w:rPr>
        <w:t>2022年度财政拨款“三公”经费支出决算0.00万元，比上年增加0.00万元，增长0.00%，主要原因是：我单位无“三公”经费支出。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因公出国（境）费支出0.00万元，开支内容包括我单位无因公出国（境）费支出。单位全年安排的因公出国（境）团组0个，因公出国（境）0人次。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0.00万元，其中：公务用车购置费0.00万元，公务用车运行维护费0.00万元。公务用车运行维护费开支内容包括我单位无公务用车运行维护费开支。公务用车购置数0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公务接待费0.00万元，开支内容包括我单位无公务接待费。单位全年安排的国内公务接待0批次，0人次。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0.00万元，决算数0.00万元，预决算差异率0.00%，主要原因是：我单位未安排财政拨款“三公”经费支出，预决算无差异。其中：因公出国（境）费全年预算数0.00万元，决算数0.00万元，预决算差异率0.00%，主要原因是：我单位未安排因公出国（境）费，预决算无差异；公务用车购置费全年预算数0.00万元，决算数0.00万元，预决算差异率0.00%，主要原因是：我单位未安排公务用车购置费，预决算无差异；</w:t>
      </w:r>
      <w:r>
        <w:rPr>
          <w:rFonts w:hint="eastAsia" w:ascii="仿宋_GB2312" w:hAnsi="宋体" w:eastAsia="仿宋_GB2312" w:cs="宋体"/>
          <w:kern w:val="0"/>
          <w:sz w:val="32"/>
          <w:szCs w:val="32"/>
        </w:rPr>
        <w:t>公务用车运行费全年预算数0.00万元，决算数0.00万元，预决算差异率0.00%，主要原因是：我单位未安排公务用车运行费，预决算无差异；</w:t>
      </w:r>
      <w:r>
        <w:rPr>
          <w:rFonts w:hint="eastAsia" w:ascii="仿宋_GB2312" w:eastAsia="仿宋_GB2312"/>
          <w:sz w:val="32"/>
          <w:szCs w:val="32"/>
        </w:rPr>
        <w:t>公务接待费全年预算数0.00万元，决算数0.00万元，预决算差异率0.00%，主要原因是：我单位未安排公务接待费，预决算无差异。</w:t>
      </w:r>
    </w:p>
    <w:p>
      <w:pPr>
        <w:ind w:firstLine="640" w:firstLineChars="200"/>
        <w:outlineLvl w:val="1"/>
        <w:rPr>
          <w:rFonts w:ascii="黑体" w:hAnsi="黑体" w:eastAsia="黑体" w:cs="宋体"/>
          <w:kern w:val="0"/>
          <w:sz w:val="32"/>
          <w:szCs w:val="32"/>
        </w:rPr>
      </w:pPr>
      <w:bookmarkStart w:id="22" w:name="_Toc7927"/>
      <w:bookmarkStart w:id="23" w:name="_Toc5810"/>
      <w:r>
        <w:rPr>
          <w:rFonts w:hint="eastAsia" w:ascii="黑体" w:hAnsi="黑体" w:eastAsia="黑体" w:cs="宋体"/>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outlineLvl w:val="1"/>
        <w:rPr>
          <w:rFonts w:ascii="黑体" w:hAnsi="黑体" w:eastAsia="黑体" w:cs="宋体"/>
          <w:kern w:val="0"/>
          <w:sz w:val="32"/>
          <w:szCs w:val="32"/>
        </w:rPr>
      </w:pPr>
      <w:bookmarkStart w:id="24" w:name="_Toc1235"/>
      <w:bookmarkStart w:id="25" w:name="_Toc7314"/>
      <w:r>
        <w:rPr>
          <w:rFonts w:hint="eastAsia" w:ascii="黑体" w:hAnsi="黑体" w:eastAsia="黑体" w:cs="宋体"/>
          <w:kern w:val="0"/>
          <w:sz w:val="32"/>
          <w:szCs w:val="32"/>
        </w:rPr>
        <w:t>十、其他重要事项的情况说明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2022年度新疆塔城地区额敏县喀拉也木勒镇牧业寄宿制学校（事业单位）公用经费21.89万元，比上年增加21.89万元，增长100%，主要原因是：2022年我单位使用公用经费支付取暖费21.89万元，2021年我单位取暖费为项目支出。</w:t>
      </w:r>
    </w:p>
    <w:p>
      <w:pPr>
        <w:ind w:firstLine="640" w:firstLineChars="200"/>
        <w:outlineLvl w:val="2"/>
        <w:rPr>
          <w:rFonts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2022年度政府采购支出总额27.99万元，其中：政府采购货物支出19.16万元、政府采购工程支出4.07万元、政府采购服务支出4.76万元。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授予中小企业合同金额27.99万元，占政府采购支出总额的100.00%，其中：授予小微企业合同金额27.99万元，占政府采购支出总额的100.00%。</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2,350.33万元，房屋9,273.01平方米，价值1,846.89万元。车辆0辆，价值0.00万元，其中：副部（省）级及以上领导用车0辆、主要领导干部用车0辆、机要通信用车0辆、应急保障用车0辆、执法执勤用车0辆、特种专业技术用车0辆、离退休干部用车0辆、其他用车0辆，其他用车主要是：我单位无其他用车；单价100万元（含）以上设备（不含车辆）0台（套）。</w:t>
      </w:r>
    </w:p>
    <w:p>
      <w:pPr>
        <w:ind w:firstLine="640" w:firstLineChars="200"/>
        <w:outlineLvl w:val="1"/>
        <w:rPr>
          <w:rFonts w:ascii="黑体" w:hAnsi="黑体" w:eastAsia="黑体" w:cs="宋体"/>
          <w:kern w:val="0"/>
          <w:sz w:val="32"/>
          <w:szCs w:val="32"/>
        </w:rPr>
      </w:pPr>
      <w:bookmarkStart w:id="32" w:name="_Toc435"/>
      <w:bookmarkStart w:id="33" w:name="_Toc11283"/>
      <w:r>
        <w:rPr>
          <w:rFonts w:hint="eastAsia" w:ascii="黑体" w:hAnsi="黑体" w:eastAsia="黑体" w:cs="宋体"/>
          <w:kern w:val="0"/>
          <w:sz w:val="32"/>
          <w:szCs w:val="32"/>
        </w:rPr>
        <w:t>十一、预算绩效的情况说明</w:t>
      </w:r>
      <w:bookmarkEnd w:id="32"/>
      <w:bookmarkEnd w:id="33"/>
    </w:p>
    <w:p>
      <w:pPr>
        <w:ind w:firstLine="640" w:firstLineChars="200"/>
        <w:jc w:val="both"/>
        <w:outlineLvl w:val="0"/>
        <w:rPr>
          <w:rFonts w:hint="eastAsia" w:ascii="仿宋_GB2312" w:eastAsia="仿宋_GB2312"/>
          <w:sz w:val="32"/>
          <w:szCs w:val="32"/>
        </w:rPr>
      </w:pPr>
      <w:bookmarkStart w:id="34" w:name="_Toc3250"/>
      <w:bookmarkStart w:id="35" w:name="_Toc24143"/>
      <w:bookmarkStart w:id="54" w:name="_GoBack"/>
      <w:bookmarkEnd w:id="54"/>
      <w:r>
        <w:rPr>
          <w:rFonts w:hint="eastAsia" w:ascii="仿宋_GB2312" w:eastAsia="仿宋_GB2312"/>
          <w:sz w:val="32"/>
          <w:szCs w:val="32"/>
        </w:rPr>
        <w:t>根据预算绩效管理要求，我单位2022年度开展预算绩效评价项目0个，全年预算数0.00万元，全年执行数0.00万元。预算绩效管理取得的成效：按照年初绩效录入要求，我单位2022年度项目绩效统一录入教科局绩效系统，本单位绩效不单独反映。发现的问题及原因：我单位2022年度项目绩效统一录入教科局绩效系统，本单位绩效不单独反映。下一步改进措施：我单位继续严格按照教科局关于绩效录入的统一安排，不单独反映绩效自评，避免了绩效系统各学校间同项目重复。</w:t>
      </w:r>
    </w:p>
    <w:p>
      <w:pPr>
        <w:ind w:firstLine="562" w:firstLineChars="200"/>
        <w:jc w:val="center"/>
        <w:outlineLvl w:val="0"/>
        <w:rPr>
          <w:rFonts w:ascii="黑体" w:hAnsi="黑体" w:eastAsia="黑体"/>
          <w:sz w:val="32"/>
          <w:szCs w:val="32"/>
        </w:rPr>
      </w:pPr>
      <w:r>
        <w:rPr>
          <w:rFonts w:ascii="黑体"/>
          <w:b/>
          <w:kern w:val="44"/>
          <w:sz w:val="28"/>
        </w:rPr>
        <w:br w:type="page"/>
      </w:r>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562" w:firstLineChars="200"/>
        <w:jc w:val="center"/>
        <w:outlineLvl w:val="0"/>
        <w:rPr>
          <w:rFonts w:ascii="黑体" w:hAnsi="黑体" w:eastAsia="黑体"/>
          <w:sz w:val="32"/>
          <w:szCs w:val="32"/>
        </w:rPr>
      </w:pPr>
      <w:bookmarkStart w:id="36" w:name="_Toc28903"/>
      <w:bookmarkStart w:id="37" w:name="_Toc22784"/>
      <w:r>
        <w:rPr>
          <w:rFonts w:ascii="黑体"/>
          <w:b/>
          <w:kern w:val="44"/>
          <w:sz w:val="28"/>
        </w:rPr>
        <w:br w:type="page"/>
      </w: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kern w:val="0"/>
          <w:sz w:val="32"/>
          <w:szCs w:val="32"/>
        </w:rPr>
      </w:pPr>
      <w:bookmarkStart w:id="38" w:name="_Toc2183"/>
      <w:bookmarkStart w:id="39" w:name="_Toc6062"/>
      <w:r>
        <w:rPr>
          <w:rFonts w:hint="eastAsia" w:ascii="黑体" w:hAnsi="黑体" w:eastAsia="黑体" w:cs="宋体"/>
          <w:kern w:val="0"/>
          <w:sz w:val="32"/>
          <w:szCs w:val="32"/>
        </w:rPr>
        <w:t>一、《收入支出决算总表》</w:t>
      </w:r>
      <w:bookmarkEnd w:id="38"/>
      <w:bookmarkEnd w:id="39"/>
    </w:p>
    <w:p>
      <w:pPr>
        <w:ind w:firstLine="640" w:firstLineChars="200"/>
        <w:outlineLvl w:val="1"/>
        <w:rPr>
          <w:rFonts w:ascii="黑体" w:hAnsi="黑体" w:eastAsia="黑体" w:cs="宋体"/>
          <w:kern w:val="0"/>
          <w:sz w:val="32"/>
          <w:szCs w:val="32"/>
        </w:rPr>
      </w:pPr>
      <w:bookmarkStart w:id="40" w:name="_Toc30364"/>
      <w:bookmarkStart w:id="41" w:name="_Toc24532"/>
      <w:r>
        <w:rPr>
          <w:rFonts w:hint="eastAsia" w:ascii="黑体" w:hAnsi="黑体" w:eastAsia="黑体" w:cs="宋体"/>
          <w:kern w:val="0"/>
          <w:sz w:val="32"/>
          <w:szCs w:val="32"/>
        </w:rPr>
        <w:t>二、《收入决算表》</w:t>
      </w:r>
      <w:bookmarkEnd w:id="40"/>
      <w:bookmarkEnd w:id="41"/>
    </w:p>
    <w:p>
      <w:pPr>
        <w:ind w:firstLine="640" w:firstLineChars="200"/>
        <w:outlineLvl w:val="1"/>
        <w:rPr>
          <w:rFonts w:ascii="黑体" w:hAnsi="黑体" w:eastAsia="黑体" w:cs="宋体"/>
          <w:kern w:val="0"/>
          <w:sz w:val="32"/>
          <w:szCs w:val="32"/>
        </w:rPr>
      </w:pPr>
      <w:bookmarkStart w:id="42" w:name="_Toc32434"/>
      <w:bookmarkStart w:id="43" w:name="_Toc21304"/>
      <w:r>
        <w:rPr>
          <w:rFonts w:hint="eastAsia" w:ascii="黑体" w:hAnsi="黑体" w:eastAsia="黑体" w:cs="宋体"/>
          <w:kern w:val="0"/>
          <w:sz w:val="32"/>
          <w:szCs w:val="32"/>
        </w:rPr>
        <w:t>三、《支出决算表》</w:t>
      </w:r>
      <w:bookmarkEnd w:id="42"/>
      <w:bookmarkEnd w:id="43"/>
    </w:p>
    <w:p>
      <w:pPr>
        <w:ind w:firstLine="640" w:firstLineChars="200"/>
        <w:outlineLvl w:val="1"/>
        <w:rPr>
          <w:rFonts w:ascii="黑体" w:hAnsi="黑体" w:eastAsia="黑体" w:cs="宋体"/>
          <w:kern w:val="0"/>
          <w:sz w:val="32"/>
          <w:szCs w:val="32"/>
        </w:rPr>
      </w:pPr>
      <w:bookmarkStart w:id="44" w:name="_Toc28786"/>
      <w:bookmarkStart w:id="45" w:name="_Toc14238"/>
      <w:r>
        <w:rPr>
          <w:rFonts w:hint="eastAsia" w:ascii="黑体" w:hAnsi="黑体" w:eastAsia="黑体" w:cs="宋体"/>
          <w:kern w:val="0"/>
          <w:sz w:val="32"/>
          <w:szCs w:val="32"/>
        </w:rPr>
        <w:t>四、《财政拨款收入支出决算总表》</w:t>
      </w:r>
      <w:bookmarkEnd w:id="44"/>
      <w:bookmarkEnd w:id="45"/>
    </w:p>
    <w:p>
      <w:pPr>
        <w:ind w:firstLine="640" w:firstLineChars="200"/>
        <w:outlineLvl w:val="1"/>
        <w:rPr>
          <w:rFonts w:ascii="黑体" w:hAnsi="黑体" w:eastAsia="黑体" w:cs="宋体"/>
          <w:kern w:val="0"/>
          <w:sz w:val="32"/>
          <w:szCs w:val="32"/>
        </w:rPr>
      </w:pPr>
      <w:bookmarkStart w:id="46" w:name="_Toc14869"/>
      <w:bookmarkStart w:id="47" w:name="_Toc10347"/>
      <w:r>
        <w:rPr>
          <w:rFonts w:hint="eastAsia" w:ascii="黑体" w:hAnsi="黑体" w:eastAsia="黑体" w:cs="宋体"/>
          <w:kern w:val="0"/>
          <w:sz w:val="32"/>
          <w:szCs w:val="32"/>
        </w:rPr>
        <w:t>五、《一般公共预算财政拨款支出决算表》</w:t>
      </w:r>
      <w:bookmarkEnd w:id="46"/>
      <w:bookmarkEnd w:id="47"/>
    </w:p>
    <w:p>
      <w:pPr>
        <w:ind w:firstLine="640" w:firstLineChars="200"/>
        <w:outlineLvl w:val="1"/>
        <w:rPr>
          <w:rFonts w:ascii="黑体" w:hAnsi="黑体" w:eastAsia="黑体" w:cs="宋体"/>
          <w:kern w:val="0"/>
          <w:sz w:val="32"/>
          <w:szCs w:val="32"/>
        </w:rPr>
      </w:pPr>
      <w:bookmarkStart w:id="48" w:name="_Toc8884"/>
      <w:bookmarkStart w:id="49" w:name="_Toc5626"/>
      <w:r>
        <w:rPr>
          <w:rFonts w:hint="eastAsia" w:ascii="黑体" w:hAnsi="黑体" w:eastAsia="黑体" w:cs="宋体"/>
          <w:kern w:val="0"/>
          <w:sz w:val="32"/>
          <w:szCs w:val="32"/>
        </w:rPr>
        <w:t>六、《一般公共预算财政拨款基本支出决算表》</w:t>
      </w:r>
      <w:bookmarkEnd w:id="48"/>
      <w:bookmarkEnd w:id="49"/>
    </w:p>
    <w:p>
      <w:pPr>
        <w:ind w:firstLine="640" w:firstLineChars="200"/>
        <w:outlineLvl w:val="1"/>
        <w:rPr>
          <w:rFonts w:ascii="黑体" w:hAnsi="黑体" w:eastAsia="黑体" w:cs="宋体"/>
          <w:kern w:val="0"/>
          <w:sz w:val="32"/>
          <w:szCs w:val="32"/>
        </w:rPr>
      </w:pPr>
      <w:bookmarkStart w:id="50" w:name="_Toc29106"/>
      <w:bookmarkStart w:id="51" w:name="_Toc32663"/>
      <w:r>
        <w:rPr>
          <w:rFonts w:hint="eastAsia" w:ascii="黑体" w:hAnsi="黑体" w:eastAsia="黑体" w:cs="宋体"/>
          <w:kern w:val="0"/>
          <w:sz w:val="32"/>
          <w:szCs w:val="32"/>
        </w:rPr>
        <w:t>七、《财政拨款“三公”经费支出决算表》</w:t>
      </w:r>
      <w:bookmarkEnd w:id="50"/>
      <w:bookmarkEnd w:id="51"/>
    </w:p>
    <w:p>
      <w:pPr>
        <w:ind w:firstLine="640" w:firstLineChars="200"/>
        <w:outlineLvl w:val="1"/>
        <w:rPr>
          <w:rFonts w:ascii="黑体" w:hAnsi="黑体" w:eastAsia="黑体" w:cs="宋体"/>
          <w:kern w:val="0"/>
          <w:sz w:val="32"/>
          <w:szCs w:val="32"/>
        </w:rPr>
      </w:pPr>
      <w:bookmarkStart w:id="52" w:name="_Toc7643"/>
      <w:bookmarkStart w:id="53" w:name="_Toc5453"/>
      <w:r>
        <w:rPr>
          <w:rFonts w:hint="eastAsia" w:ascii="黑体" w:hAnsi="黑体" w:eastAsia="黑体" w:cs="宋体"/>
          <w:kern w:val="0"/>
          <w:sz w:val="32"/>
          <w:szCs w:val="32"/>
        </w:rPr>
        <w:t>八、《政府性基金预算财政拨款收入支出决算表》</w:t>
      </w:r>
      <w:bookmarkEnd w:id="52"/>
      <w:bookmarkEnd w:id="53"/>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00"/>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path/>
          <v:fill on="f" focussize="0,0"/>
          <v:stroke on="f" joinstyle="miter"/>
          <v:imagedata o:title=""/>
          <o:lock v:ext="edit"/>
          <v:textbox inset="0mm,0mm,0mm,0mm" style="mso-fit-shape-to-text:t;">
            <w:txbxContent>
              <w:p>
                <w:pPr>
                  <w:pStyle w:val="4"/>
                  <w:tabs>
                    <w:tab w:val="center" w:pos="4153"/>
                    <w:tab w:val="right" w:pos="8306"/>
                  </w:tabs>
                </w:pPr>
                <w:r>
                  <w:rPr>
                    <w:rFonts w:hint="eastAsia"/>
                  </w:rPr>
                  <w:fldChar w:fldCharType="begin"/>
                </w:r>
                <w:r>
                  <w:rPr>
                    <w:rFonts w:hint="eastAsia"/>
                  </w:rPr>
                  <w:instrText xml:space="preserve"> PAGE \* MERGEFORMAT</w:instrText>
                </w:r>
                <w:r>
                  <w:rPr>
                    <w:rFonts w:hint="eastAsia"/>
                  </w:rPr>
                  <w:fldChar w:fldCharType="separate"/>
                </w:r>
                <w:r>
                  <w:t>9</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ulTrailSpace/>
    <w:doNotExpandShiftReturn/>
    <w:adjustLineHeightInTable/>
    <w:useFELayout/>
    <w:compatSetting w:name="compatibilityMode" w:uri="http://schemas.microsoft.com/office/word" w:val="12"/>
  </w:compat>
  <w:docVars>
    <w:docVar w:name="commondata" w:val="eyJoZGlkIjoiZDEzZmRjNGE1MWFhMmQ5YTI4N2U2NGVhNTI5YmQ5NzAifQ=="/>
  </w:docVars>
  <w:rsids>
    <w:rsidRoot w:val="00DE2559"/>
    <w:rsid w:val="003E5FD4"/>
    <w:rsid w:val="00471AAF"/>
    <w:rsid w:val="00571D33"/>
    <w:rsid w:val="00DE2559"/>
    <w:rsid w:val="2D80355B"/>
    <w:rsid w:val="33445128"/>
    <w:rsid w:val="498707D6"/>
    <w:rsid w:val="532E4428"/>
    <w:rsid w:val="54B27BEE"/>
    <w:rsid w:val="5B6B6089"/>
    <w:rsid w:val="6061706E"/>
    <w:rsid w:val="69C54065"/>
    <w:rsid w:val="6D3E606B"/>
    <w:rsid w:val="6DB770AD"/>
    <w:rsid w:val="70290F28"/>
    <w:rsid w:val="784F610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uiPriority w:val="0"/>
    <w:pPr>
      <w:snapToGrid w:val="0"/>
      <w:jc w:val="left"/>
    </w:pPr>
    <w:rPr>
      <w:sz w:val="18"/>
    </w:rPr>
  </w:style>
  <w:style w:type="paragraph" w:styleId="5">
    <w:name w:val="header"/>
    <w:basedOn w:val="1"/>
    <w:qFormat/>
    <w:uiPriority w:val="0"/>
    <w:pPr>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15</Pages>
  <Words>5462</Words>
  <Characters>6285</Characters>
  <Lines>51</Lines>
  <Paragraphs>14</Paragraphs>
  <TotalTime>13</TotalTime>
  <ScaleCrop>false</ScaleCrop>
  <LinksUpToDate>false</LinksUpToDate>
  <CharactersWithSpaces>6299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2024-06-21T13:45:46Z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68D2F44EC6A84CB7A6A9ED0C835B2EBA_13</vt:lpwstr>
  </property>
</Properties>
</file>