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方正小标宋_GBK" w:eastAsia="方正小标宋_GBK"/>
          <w:sz w:val="44"/>
          <w:szCs w:val="44"/>
        </w:rPr>
      </w:pPr>
    </w:p>
    <w:p>
      <w:pPr>
        <w:jc w:val="center"/>
        <w:rPr>
          <w:rFonts w:ascii="方正小标宋_GBK" w:hAnsi="方正小标宋_GBK" w:eastAsia="方正小标宋_GBK"/>
          <w:sz w:val="44"/>
          <w:szCs w:val="44"/>
        </w:rPr>
      </w:pPr>
    </w:p>
    <w:p>
      <w:pPr>
        <w:jc w:val="both"/>
        <w:rPr>
          <w:rFonts w:ascii="方正小标宋_GBK" w:hAnsi="方正小标宋_GBK" w:eastAsia="方正小标宋_GBK"/>
          <w:sz w:val="44"/>
          <w:szCs w:val="44"/>
        </w:rPr>
      </w:pPr>
    </w:p>
    <w:p>
      <w:pPr>
        <w:jc w:val="center"/>
        <w:rPr>
          <w:rFonts w:ascii="方正小标宋_GBK" w:hAnsi="方正小标宋_GBK" w:eastAsia="方正小标宋_GBK"/>
          <w:sz w:val="44"/>
          <w:szCs w:val="44"/>
        </w:rPr>
      </w:pPr>
    </w:p>
    <w:p>
      <w:pPr>
        <w:jc w:val="center"/>
        <w:rPr>
          <w:rFonts w:ascii="方正小标宋_GBK" w:hAnsi="方正小标宋_GBK" w:eastAsia="方正小标宋_GBK"/>
          <w:sz w:val="44"/>
          <w:szCs w:val="44"/>
        </w:rPr>
      </w:pPr>
      <w:r>
        <w:rPr>
          <w:rFonts w:hint="eastAsia" w:ascii="方正小标宋_GBK" w:hAnsi="方正小标宋_GBK" w:eastAsia="方正小标宋_GBK"/>
          <w:sz w:val="44"/>
          <w:szCs w:val="44"/>
        </w:rPr>
        <w:t>新疆塔城地区额敏县二支河牧场寄宿制</w:t>
      </w:r>
    </w:p>
    <w:p>
      <w:pPr>
        <w:jc w:val="center"/>
        <w:rPr>
          <w:rFonts w:ascii="方正小标宋_GBK" w:hAnsi="方正小标宋_GBK" w:eastAsia="方正小标宋_GBK"/>
          <w:sz w:val="44"/>
          <w:szCs w:val="44"/>
        </w:rPr>
      </w:pPr>
      <w:r>
        <w:rPr>
          <w:rFonts w:hint="eastAsia" w:ascii="方正小标宋_GBK" w:hAnsi="方正小标宋_GBK" w:eastAsia="方正小标宋_GBK"/>
          <w:sz w:val="44"/>
          <w:szCs w:val="44"/>
        </w:rPr>
        <w:t xml:space="preserve">中心小学2022年度部门决算公开说明 </w:t>
      </w:r>
    </w:p>
    <w:p>
      <w:pPr>
        <w:jc w:val="center"/>
        <w:rPr>
          <w:rFonts w:ascii="仿宋_GB2312" w:hAnsi="仿宋_GB2312" w:eastAsia="仿宋_GB2312" w:cs="仿宋_GB2312"/>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 录</w:t>
      </w:r>
    </w:p>
    <w:p>
      <w:pPr>
        <w:pStyle w:val="6"/>
        <w:tabs>
          <w:tab w:val="right" w:pos="8306"/>
        </w:tabs>
        <w:rPr>
          <w:rFonts w:ascii="仿宋_GB2312" w:hAnsi="仿宋_GB2312" w:eastAsia="仿宋_GB2312" w:cs="仿宋_GB2312"/>
          <w:b/>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sz w:val="32"/>
          <w:szCs w:val="32"/>
        </w:rPr>
        <w:t>第一部分 单位概况</w:t>
      </w:r>
      <w:r>
        <w:rPr>
          <w:rFonts w:hint="eastAsia" w:ascii="仿宋_GB2312" w:hAnsi="仿宋_GB2312" w:eastAsia="仿宋_GB2312" w:cs="仿宋_GB2312"/>
          <w:b/>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kern w:val="0"/>
          <w:sz w:val="32"/>
          <w:szCs w:val="32"/>
        </w:rPr>
        <w:t>一、主要职能</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kern w:val="0"/>
          <w:sz w:val="32"/>
          <w:szCs w:val="32"/>
        </w:rPr>
        <w:t>二、机构设置及人员情况</w:t>
      </w:r>
      <w:r>
        <w:rPr>
          <w:rFonts w:hint="eastAsia" w:ascii="仿宋_GB2312" w:hAnsi="仿宋_GB2312" w:eastAsia="仿宋_GB2312" w:cs="仿宋_GB2312"/>
          <w:kern w:val="0"/>
          <w:sz w:val="32"/>
          <w:szCs w:val="32"/>
        </w:rPr>
        <w:fldChar w:fldCharType="end"/>
      </w:r>
    </w:p>
    <w:p>
      <w:pPr>
        <w:pStyle w:val="6"/>
        <w:tabs>
          <w:tab w:val="right" w:pos="8306"/>
        </w:tabs>
        <w:rPr>
          <w:rFonts w:ascii="仿宋_GB2312" w:hAnsi="仿宋_GB2312" w:eastAsia="仿宋_GB2312" w:cs="仿宋_GB2312"/>
          <w:b/>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sz w:val="32"/>
          <w:szCs w:val="32"/>
        </w:rPr>
        <w:t>第二部分 部门决算情况说明</w:t>
      </w:r>
      <w:r>
        <w:rPr>
          <w:rFonts w:hint="eastAsia" w:ascii="仿宋_GB2312" w:hAnsi="仿宋_GB2312" w:eastAsia="仿宋_GB2312" w:cs="仿宋_GB2312"/>
          <w:b/>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kern w:val="0"/>
          <w:sz w:val="32"/>
          <w:szCs w:val="32"/>
        </w:rPr>
        <w:t>一、收入支出决算总体情况说明</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kern w:val="0"/>
          <w:sz w:val="32"/>
          <w:szCs w:val="32"/>
        </w:rPr>
        <w:t>二、收入决算情况说明</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kern w:val="0"/>
          <w:sz w:val="32"/>
          <w:szCs w:val="32"/>
        </w:rPr>
        <w:t>三、支出决算情况说明</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kern w:val="0"/>
          <w:sz w:val="32"/>
          <w:szCs w:val="32"/>
        </w:rPr>
        <w:t>四、财政拨款收入支出决算总体情况说明</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kern w:val="0"/>
          <w:sz w:val="32"/>
          <w:szCs w:val="32"/>
        </w:rPr>
        <w:t>五、一般公共预算财政拨款支出决算情况说明</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kern w:val="0"/>
          <w:sz w:val="32"/>
          <w:szCs w:val="32"/>
        </w:rPr>
        <w:t>六、一般公共预算财政拨款基本支出决算情况说明</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kern w:val="0"/>
          <w:sz w:val="32"/>
          <w:szCs w:val="32"/>
        </w:rPr>
        <w:t>七、财政拨款“三公”经费支出决算情况说明</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kern w:val="0"/>
          <w:sz w:val="32"/>
          <w:szCs w:val="32"/>
        </w:rPr>
        <w:t>八、政府性基金预算财政拨款收入支出决算情况说明</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kern w:val="0"/>
          <w:sz w:val="32"/>
          <w:szCs w:val="32"/>
        </w:rPr>
        <w:t>九、国有资本经营预算财政拨款收入支出决算情况说明</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kern w:val="0"/>
          <w:sz w:val="32"/>
          <w:szCs w:val="32"/>
        </w:rPr>
        <w:t>十、其他重要事项的情况说明</w:t>
      </w:r>
      <w:r>
        <w:rPr>
          <w:rFonts w:hint="eastAsia" w:ascii="仿宋_GB2312" w:hAnsi="仿宋_GB2312" w:eastAsia="仿宋_GB2312" w:cs="仿宋_GB2312"/>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kern w:val="0"/>
          <w:sz w:val="32"/>
          <w:szCs w:val="32"/>
        </w:rPr>
        <w:t>十一、预算绩效的情况说明</w:t>
      </w:r>
      <w:r>
        <w:rPr>
          <w:rFonts w:hint="eastAsia" w:ascii="仿宋_GB2312" w:hAnsi="仿宋_GB2312" w:eastAsia="仿宋_GB2312" w:cs="仿宋_GB2312"/>
          <w:kern w:val="0"/>
          <w:sz w:val="32"/>
          <w:szCs w:val="32"/>
        </w:rPr>
        <w:fldChar w:fldCharType="end"/>
      </w:r>
    </w:p>
    <w:p>
      <w:pPr>
        <w:pStyle w:val="6"/>
        <w:tabs>
          <w:tab w:val="right" w:pos="8306"/>
        </w:tabs>
        <w:rPr>
          <w:rFonts w:ascii="仿宋_GB2312" w:hAnsi="仿宋_GB2312" w:eastAsia="仿宋_GB2312" w:cs="仿宋_GB2312"/>
          <w:b/>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sz w:val="32"/>
          <w:szCs w:val="32"/>
        </w:rPr>
        <w:t>第三部分 专业名词解释</w:t>
      </w:r>
      <w:r>
        <w:rPr>
          <w:rFonts w:hint="eastAsia" w:ascii="仿宋_GB2312" w:hAnsi="仿宋_GB2312" w:eastAsia="仿宋_GB2312" w:cs="仿宋_GB2312"/>
          <w:b/>
          <w:sz w:val="32"/>
          <w:szCs w:val="32"/>
        </w:rPr>
        <w:fldChar w:fldCharType="end"/>
      </w:r>
    </w:p>
    <w:p>
      <w:pPr>
        <w:pStyle w:val="6"/>
        <w:tabs>
          <w:tab w:val="right" w:pos="8306"/>
        </w:tabs>
        <w:rPr>
          <w:rFonts w:ascii="仿宋_GB2312" w:hAnsi="仿宋_GB2312" w:eastAsia="仿宋_GB2312" w:cs="仿宋_GB2312"/>
          <w:b/>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sz w:val="32"/>
          <w:szCs w:val="32"/>
        </w:rPr>
        <w:t>第四部分 部门决算报表（见附表）</w:t>
      </w:r>
      <w:r>
        <w:rPr>
          <w:rFonts w:hint="eastAsia" w:ascii="仿宋_GB2312" w:hAnsi="仿宋_GB2312" w:eastAsia="仿宋_GB2312" w:cs="仿宋_GB2312"/>
          <w:b/>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kern w:val="0"/>
          <w:sz w:val="32"/>
          <w:szCs w:val="32"/>
        </w:rPr>
        <w:t>一、《收入支出决算总表》</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kern w:val="0"/>
          <w:sz w:val="32"/>
          <w:szCs w:val="32"/>
        </w:rPr>
        <w:t>二、《收入决算表》</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kern w:val="0"/>
          <w:sz w:val="32"/>
          <w:szCs w:val="32"/>
        </w:rPr>
        <w:t>三、《支出决算表》</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kern w:val="0"/>
          <w:sz w:val="32"/>
          <w:szCs w:val="32"/>
        </w:rPr>
        <w:t>四、《财政拨款收入支出决算总表》</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kern w:val="0"/>
          <w:sz w:val="32"/>
          <w:szCs w:val="32"/>
        </w:rPr>
        <w:t>五、《一般公共预算财政拨款支出决算表》</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kern w:val="0"/>
          <w:sz w:val="32"/>
          <w:szCs w:val="32"/>
        </w:rPr>
        <w:t>六、《一般公共预算财政拨款基本支出决算表》</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kern w:val="0"/>
          <w:sz w:val="32"/>
          <w:szCs w:val="32"/>
        </w:rPr>
        <w:t>七、《财政拨款“三公”经费支出决算表》</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kern w:val="0"/>
          <w:sz w:val="32"/>
          <w:szCs w:val="32"/>
        </w:rPr>
        <w:t>八、《政府性基金预算财政拨款收入支出决算表》</w:t>
      </w:r>
      <w:r>
        <w:rPr>
          <w:rFonts w:hint="eastAsia" w:ascii="仿宋_GB2312" w:hAnsi="仿宋_GB2312" w:eastAsia="仿宋_GB2312" w:cs="仿宋_GB2312"/>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kern w:val="0"/>
          <w:sz w:val="32"/>
          <w:szCs w:val="32"/>
        </w:rPr>
        <w:t>九、《国有资本经营预算财政拨款收入支出决算表》</w:t>
      </w:r>
      <w:r>
        <w:rPr>
          <w:rFonts w:hint="eastAsia" w:ascii="仿宋_GB2312" w:hAnsi="仿宋_GB2312" w:eastAsia="仿宋_GB2312" w:cs="仿宋_GB2312"/>
          <w:kern w:val="0"/>
          <w:sz w:val="32"/>
          <w:szCs w:val="32"/>
        </w:rPr>
        <w:fldChar w:fldCharType="end"/>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0" w:name="_Toc32314"/>
      <w:bookmarkStart w:id="1" w:name="_Toc24028"/>
      <w:r>
        <w:rPr>
          <w:rFonts w:hint="eastAsia" w:ascii="黑体" w:hAnsi="黑体" w:eastAsia="黑体"/>
          <w:sz w:val="32"/>
          <w:szCs w:val="32"/>
        </w:rPr>
        <w:t>第一部分 单位概况</w:t>
      </w:r>
      <w:bookmarkEnd w:id="0"/>
      <w:bookmarkEnd w:id="1"/>
    </w:p>
    <w:p>
      <w:pPr>
        <w:ind w:firstLine="640" w:firstLineChars="200"/>
        <w:outlineLvl w:val="1"/>
        <w:rPr>
          <w:rFonts w:ascii="黑体" w:hAnsi="黑体" w:eastAsia="黑体" w:cs="宋体"/>
          <w:kern w:val="0"/>
          <w:sz w:val="32"/>
          <w:szCs w:val="32"/>
        </w:rPr>
      </w:pPr>
      <w:bookmarkStart w:id="2" w:name="_Toc30567"/>
      <w:bookmarkStart w:id="3" w:name="_Toc30738"/>
      <w:r>
        <w:rPr>
          <w:rFonts w:hint="eastAsia" w:ascii="黑体" w:hAnsi="黑体" w:eastAsia="黑体" w:cs="宋体"/>
          <w:kern w:val="0"/>
          <w:sz w:val="32"/>
          <w:szCs w:val="32"/>
        </w:rPr>
        <w:t>一、主要职能</w:t>
      </w:r>
      <w:bookmarkEnd w:id="2"/>
      <w:bookmarkEnd w:id="3"/>
    </w:p>
    <w:p>
      <w:pPr>
        <w:ind w:firstLine="640" w:firstLineChars="200"/>
        <w:rPr>
          <w:rFonts w:ascii="仿宋_GB2312" w:eastAsia="仿宋_GB2312"/>
          <w:sz w:val="32"/>
          <w:szCs w:val="32"/>
        </w:rPr>
      </w:pPr>
      <w:r>
        <w:rPr>
          <w:rFonts w:hint="eastAsia" w:ascii="仿宋_GB2312" w:eastAsia="仿宋_GB2312"/>
          <w:sz w:val="32"/>
          <w:szCs w:val="32"/>
        </w:rPr>
        <w:t>1、宣传贯彻执行党和国家的教育方针、政策和法律法规及上级行政部门的行政规章；2、根据县人民政府制定的教育事业发展政策，实施九年义务教育，扫除青壮年文盲；3、按照干部和教师的人数、编制和管理权限，负责对本校的干部和教师进行管理；4、按照上级有关部门的规定，负责对本校义务教育的基建进行管理；5、按照九年义务教育课程计划，开齐课程、开足课时，认真实施小学的教育教学管理，推进素质教育，全面提高教育教学质量。</w:t>
      </w:r>
    </w:p>
    <w:p>
      <w:pPr>
        <w:ind w:firstLine="640" w:firstLineChars="200"/>
        <w:outlineLvl w:val="1"/>
        <w:rPr>
          <w:rFonts w:ascii="黑体" w:hAnsi="黑体" w:eastAsia="黑体" w:cs="宋体"/>
          <w:kern w:val="0"/>
          <w:sz w:val="32"/>
          <w:szCs w:val="32"/>
        </w:rPr>
      </w:pPr>
      <w:bookmarkStart w:id="4" w:name="_Toc31238"/>
      <w:bookmarkStart w:id="5" w:name="_Toc2151"/>
      <w:r>
        <w:rPr>
          <w:rFonts w:hint="eastAsia" w:ascii="黑体" w:hAnsi="黑体" w:eastAsia="黑体" w:cs="宋体"/>
          <w:kern w:val="0"/>
          <w:sz w:val="32"/>
          <w:szCs w:val="32"/>
        </w:rPr>
        <w:t>二、机构设置及</w:t>
      </w:r>
      <w:bookmarkEnd w:id="4"/>
      <w:r>
        <w:rPr>
          <w:rFonts w:hint="eastAsia" w:ascii="黑体" w:hAnsi="黑体" w:eastAsia="黑体" w:cs="宋体"/>
          <w:kern w:val="0"/>
          <w:sz w:val="32"/>
          <w:szCs w:val="32"/>
        </w:rPr>
        <w:t>人员情况</w:t>
      </w:r>
      <w:bookmarkEnd w:id="5"/>
    </w:p>
    <w:p>
      <w:pPr>
        <w:ind w:firstLine="640" w:firstLineChars="200"/>
        <w:rPr>
          <w:rFonts w:ascii="仿宋_GB2312" w:eastAsia="仿宋_GB2312"/>
          <w:sz w:val="32"/>
          <w:szCs w:val="32"/>
        </w:rPr>
      </w:pPr>
      <w:r>
        <w:rPr>
          <w:rFonts w:hint="eastAsia" w:ascii="仿宋_GB2312" w:eastAsia="仿宋_GB2312"/>
          <w:sz w:val="32"/>
          <w:szCs w:val="32"/>
        </w:rPr>
        <w:t>新疆塔城地区额敏县二支河牧场寄宿制中心小学2022年度，实有人数114人，其中：在职人员82人，离休人员0人，退休人员32人。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从部门决算单位构成看，新疆塔城地区额敏县二支河牧场寄宿制中心小学部门决算包括：新疆塔城地区额敏县二支河牧场寄宿制中心小学决算。单位无下属预算单位，下设</w:t>
      </w:r>
      <w:r>
        <w:rPr>
          <w:rFonts w:hint="eastAsia" w:ascii="仿宋_GB2312" w:eastAsia="仿宋_GB2312"/>
          <w:sz w:val="32"/>
          <w:szCs w:val="32"/>
          <w:lang w:val="en-US" w:eastAsia="zh-CN"/>
        </w:rPr>
        <w:t>9</w:t>
      </w:r>
      <w:r>
        <w:rPr>
          <w:rFonts w:hint="eastAsia" w:ascii="仿宋_GB2312" w:eastAsia="仿宋_GB2312"/>
          <w:sz w:val="32"/>
          <w:szCs w:val="32"/>
        </w:rPr>
        <w:t>个处室，分别是：标准化建设办公室、党建活动室、教师办公室、财务室、音体美室、音体美多功能室、德育达标办公室、教务室、德育室。</w:t>
      </w:r>
    </w:p>
    <w:p>
      <w:pPr>
        <w:ind w:firstLine="562" w:firstLineChars="200"/>
        <w:jc w:val="center"/>
        <w:outlineLvl w:val="0"/>
        <w:rPr>
          <w:rFonts w:ascii="黑体" w:hAnsi="黑体" w:eastAsia="黑体"/>
          <w:sz w:val="32"/>
          <w:szCs w:val="32"/>
        </w:rPr>
      </w:pPr>
      <w:bookmarkStart w:id="6" w:name="_Toc3092"/>
      <w:bookmarkStart w:id="7" w:name="_Toc29374"/>
      <w:r>
        <w:rPr>
          <w:rFonts w:ascii="黑体"/>
          <w:b/>
          <w:kern w:val="44"/>
          <w:sz w:val="28"/>
        </w:rPr>
        <w:br w:type="page"/>
      </w:r>
      <w:r>
        <w:rPr>
          <w:rFonts w:ascii="黑体"/>
          <w:b/>
          <w:spacing w:val="40"/>
          <w:sz w:val="28"/>
        </w:rPr>
        <w:t xml:space="preserve"> </w:t>
      </w:r>
      <w:r>
        <w:rPr>
          <w:rFonts w:hint="eastAsia" w:ascii="黑体" w:hAnsi="黑体" w:eastAsia="黑体"/>
          <w:sz w:val="32"/>
          <w:szCs w:val="32"/>
        </w:rPr>
        <w:t>第二部分 部门决算情况说明</w:t>
      </w:r>
      <w:bookmarkEnd w:id="6"/>
      <w:bookmarkEnd w:id="7"/>
    </w:p>
    <w:p>
      <w:pPr>
        <w:ind w:firstLine="640" w:firstLineChars="200"/>
        <w:outlineLvl w:val="1"/>
        <w:rPr>
          <w:rFonts w:ascii="黑体" w:hAnsi="黑体" w:eastAsia="黑体" w:cs="宋体"/>
          <w:kern w:val="0"/>
          <w:sz w:val="32"/>
          <w:szCs w:val="32"/>
        </w:rPr>
      </w:pPr>
      <w:bookmarkStart w:id="8" w:name="_Toc12566"/>
      <w:bookmarkStart w:id="9" w:name="_Toc25314"/>
      <w:r>
        <w:rPr>
          <w:rFonts w:hint="eastAsia" w:ascii="黑体" w:hAnsi="黑体" w:eastAsia="黑体" w:cs="宋体"/>
          <w:kern w:val="0"/>
          <w:sz w:val="32"/>
          <w:szCs w:val="32"/>
        </w:rPr>
        <w:t>一、收入支出决算总体情况说明</w:t>
      </w:r>
      <w:bookmarkEnd w:id="8"/>
      <w:bookmarkEnd w:id="9"/>
    </w:p>
    <w:p>
      <w:pPr>
        <w:ind w:firstLine="640" w:firstLineChars="200"/>
        <w:rPr>
          <w:rFonts w:ascii="仿宋_GB2312" w:eastAsia="仿宋_GB2312"/>
          <w:sz w:val="32"/>
          <w:szCs w:val="32"/>
        </w:rPr>
      </w:pPr>
      <w:r>
        <w:rPr>
          <w:rFonts w:hint="eastAsia" w:ascii="仿宋_GB2312" w:eastAsia="仿宋_GB2312"/>
          <w:sz w:val="32"/>
          <w:szCs w:val="32"/>
        </w:rPr>
        <w:t>2022年度收入总计1,484.38万元，其中：本年收入合计1,484.38万元，使用非财政拨款结余0.00万元，年初结转和结余0.00万元。收入总计与上年相比，增加270.31万元，增长22.26%，主要原因是：2022年人员薪资调整；发放2017年一个季度的绩效工资，2020年一个季度的绩效工资。</w:t>
      </w:r>
    </w:p>
    <w:p>
      <w:pPr>
        <w:ind w:firstLine="640" w:firstLineChars="200"/>
        <w:rPr>
          <w:rFonts w:ascii="仿宋_GB2312" w:eastAsia="仿宋_GB2312"/>
          <w:sz w:val="32"/>
          <w:szCs w:val="32"/>
        </w:rPr>
      </w:pPr>
      <w:r>
        <w:rPr>
          <w:rFonts w:hint="eastAsia" w:ascii="仿宋_GB2312" w:eastAsia="仿宋_GB2312"/>
          <w:sz w:val="32"/>
          <w:szCs w:val="32"/>
        </w:rPr>
        <w:t>本年支出总计1,484.38万元，其中：本年支出合计1,484.38万元，结余分配0.00万元，年末结转和结余0.00万元。支出总计与上年相比，增加270.31万元，增长22.26%，主要原因是：2022年人员薪资调整；发放2017年一个季度的绩效工资，2020年一个季度的绩效工资。</w:t>
      </w:r>
    </w:p>
    <w:p>
      <w:pPr>
        <w:ind w:firstLine="640" w:firstLineChars="200"/>
        <w:outlineLvl w:val="1"/>
        <w:rPr>
          <w:rFonts w:ascii="黑体" w:hAnsi="黑体" w:eastAsia="黑体" w:cs="宋体"/>
          <w:kern w:val="0"/>
          <w:sz w:val="32"/>
          <w:szCs w:val="32"/>
        </w:rPr>
      </w:pPr>
      <w:bookmarkStart w:id="10" w:name="_Toc12142"/>
      <w:bookmarkStart w:id="11" w:name="_Toc1979"/>
      <w:r>
        <w:rPr>
          <w:rFonts w:hint="eastAsia" w:ascii="黑体" w:hAnsi="黑体" w:eastAsia="黑体" w:cs="宋体"/>
          <w:kern w:val="0"/>
          <w:sz w:val="32"/>
          <w:szCs w:val="32"/>
        </w:rPr>
        <w:t>二、收入决算情况说明</w:t>
      </w:r>
      <w:bookmarkEnd w:id="10"/>
      <w:bookmarkEnd w:id="11"/>
    </w:p>
    <w:p>
      <w:pPr>
        <w:ind w:firstLine="640" w:firstLineChars="200"/>
        <w:rPr>
          <w:rFonts w:ascii="仿宋_GB2312" w:eastAsia="仿宋_GB2312"/>
          <w:sz w:val="32"/>
          <w:szCs w:val="32"/>
        </w:rPr>
      </w:pPr>
      <w:r>
        <w:rPr>
          <w:rFonts w:hint="eastAsia" w:ascii="仿宋_GB2312" w:eastAsia="仿宋_GB2312"/>
          <w:sz w:val="32"/>
          <w:szCs w:val="32"/>
        </w:rPr>
        <w:t>2022年度本年收入1,484.38万元，其中：财政拨款收入1,484.38万元，占100.00%；上级补助收入0.00万元，占0.00%；事业收入0.00万元，占0.00%；经营收入0.00万元，占0.00%；附属单位上缴收入0.00万元，占0.00%；其他收入0.00万元，占0.00%。</w:t>
      </w:r>
    </w:p>
    <w:p>
      <w:pPr>
        <w:ind w:firstLine="640" w:firstLineChars="200"/>
        <w:outlineLvl w:val="1"/>
        <w:rPr>
          <w:rFonts w:ascii="黑体" w:hAnsi="黑体" w:eastAsia="黑体" w:cs="宋体"/>
          <w:kern w:val="0"/>
          <w:sz w:val="32"/>
          <w:szCs w:val="32"/>
        </w:rPr>
      </w:pPr>
      <w:bookmarkStart w:id="12" w:name="_Toc27961"/>
      <w:bookmarkStart w:id="13" w:name="_Toc13201"/>
      <w:r>
        <w:rPr>
          <w:rFonts w:hint="eastAsia" w:ascii="黑体" w:hAnsi="黑体" w:eastAsia="黑体" w:cs="宋体"/>
          <w:kern w:val="0"/>
          <w:sz w:val="32"/>
          <w:szCs w:val="32"/>
        </w:rPr>
        <w:t>三、支出决算情况说明</w:t>
      </w:r>
      <w:bookmarkEnd w:id="12"/>
      <w:bookmarkEnd w:id="13"/>
    </w:p>
    <w:p>
      <w:pPr>
        <w:ind w:firstLine="640" w:firstLineChars="200"/>
        <w:rPr>
          <w:rFonts w:ascii="仿宋_GB2312" w:eastAsia="仿宋_GB2312"/>
          <w:sz w:val="32"/>
          <w:szCs w:val="32"/>
        </w:rPr>
      </w:pPr>
      <w:r>
        <w:rPr>
          <w:rFonts w:hint="eastAsia" w:ascii="仿宋_GB2312" w:eastAsia="仿宋_GB2312"/>
          <w:sz w:val="32"/>
          <w:szCs w:val="32"/>
        </w:rPr>
        <w:t>2022年度本年支出1,484.38万元，其中：基本支出1,308.10万元，占88.12%；项目支出176.28万元，占11.88%；上缴上级支出0.00万元，占0.00%；经营支出0.00万元，占0.00%；对附属单位补助支出0.00万元，占0.00%。</w:t>
      </w:r>
    </w:p>
    <w:p>
      <w:pPr>
        <w:ind w:firstLine="640" w:firstLineChars="200"/>
        <w:outlineLvl w:val="1"/>
        <w:rPr>
          <w:rFonts w:ascii="黑体" w:hAnsi="黑体" w:eastAsia="黑体" w:cs="宋体"/>
          <w:kern w:val="0"/>
          <w:sz w:val="32"/>
          <w:szCs w:val="32"/>
        </w:rPr>
      </w:pPr>
      <w:bookmarkStart w:id="14" w:name="_Toc26564"/>
      <w:bookmarkStart w:id="15" w:name="_Toc4393"/>
      <w:r>
        <w:rPr>
          <w:rFonts w:hint="eastAsia" w:ascii="黑体" w:hAnsi="黑体" w:eastAsia="黑体" w:cs="宋体"/>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hint="eastAsia" w:ascii="仿宋_GB2312" w:eastAsia="仿宋_GB2312"/>
          <w:sz w:val="32"/>
          <w:szCs w:val="32"/>
        </w:rPr>
        <w:t>2022年度财政拨款收入总计1,484.38万元，其中：年初财政拨款结转和结余0.00万元，财政拨款本年收入1,484.38万元。财政拨款收入总计与上年相比，增加270.31万元，增长22.26%，主要原因是：我单位2022年度发放了2017年一个季度大绩效，2020年一个季度大绩效，年初涨津贴补贴。</w:t>
      </w:r>
    </w:p>
    <w:p>
      <w:pPr>
        <w:ind w:firstLine="640" w:firstLineChars="200"/>
        <w:rPr>
          <w:rFonts w:ascii="仿宋_GB2312" w:eastAsia="仿宋_GB2312"/>
          <w:sz w:val="32"/>
          <w:szCs w:val="32"/>
        </w:rPr>
      </w:pPr>
      <w:r>
        <w:rPr>
          <w:rFonts w:hint="eastAsia" w:ascii="仿宋_GB2312" w:eastAsia="仿宋_GB2312"/>
          <w:sz w:val="32"/>
          <w:szCs w:val="32"/>
        </w:rPr>
        <w:t>财政拨款支出总计1,484.38万元，其中：年末财政拨款结转和结余0.00万元，财政拨款本年支出1,484.38万元。财政拨款支出总计与上年相比，增加270.31万元，增长22.26%，主要原因是：我单位2022年度发放了2017年一个季度大绩效，2020年一个季度大绩效，年初涨津贴补贴。</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总计年初预算数1,353.97万元，决算数1,484.38万元，预决算差异率9.63%，主要原因是：2022年人员薪资调整；年中追加预算，发放2017年一个季度的绩效工资，2020一个季度的绩效工资,故预决算存在差异。财政拨款支出总计年初预算数1,353.97万元，决算数1,484.38万元，预决算差异率9.63%，主要原因是：2022年人员薪资调整；年中追加预算，发放2017年一个季度的绩效工资，2020年一个季度的绩效工资,故预决算存在差异。</w:t>
      </w:r>
    </w:p>
    <w:p>
      <w:pPr>
        <w:ind w:firstLine="640" w:firstLineChars="200"/>
        <w:outlineLvl w:val="1"/>
        <w:rPr>
          <w:rFonts w:ascii="黑体" w:hAnsi="黑体" w:eastAsia="黑体" w:cs="宋体"/>
          <w:kern w:val="0"/>
          <w:sz w:val="32"/>
          <w:szCs w:val="32"/>
        </w:rPr>
      </w:pPr>
      <w:bookmarkStart w:id="16" w:name="_Toc13833"/>
      <w:bookmarkStart w:id="17" w:name="_Toc20360"/>
      <w:r>
        <w:rPr>
          <w:rFonts w:hint="eastAsia" w:ascii="黑体" w:hAnsi="黑体" w:eastAsia="黑体" w:cs="宋体"/>
          <w:kern w:val="0"/>
          <w:sz w:val="32"/>
          <w:szCs w:val="32"/>
        </w:rPr>
        <w:t>五、一般公共预算财政拨款支出决算情况说明</w:t>
      </w:r>
      <w:bookmarkEnd w:id="16"/>
      <w:bookmarkEnd w:id="17"/>
    </w:p>
    <w:p>
      <w:pPr>
        <w:ind w:firstLine="640" w:firstLineChars="200"/>
        <w:outlineLvl w:val="1"/>
        <w:rPr>
          <w:rFonts w:ascii="黑体" w:hAnsi="黑体" w:eastAsia="黑体" w:cs="宋体"/>
          <w:kern w:val="0"/>
          <w:sz w:val="32"/>
          <w:szCs w:val="32"/>
        </w:rPr>
      </w:pPr>
      <w:r>
        <w:rPr>
          <w:rFonts w:hint="eastAsia" w:ascii="黑体" w:hAnsi="黑体" w:eastAsia="黑体" w:cs="宋体"/>
          <w:kern w:val="0"/>
          <w:sz w:val="32"/>
          <w:szCs w:val="32"/>
        </w:rPr>
        <w:t>（一）一般公共预算财政拨款支出决算总体情况</w:t>
      </w:r>
    </w:p>
    <w:p>
      <w:pPr>
        <w:ind w:firstLine="640" w:firstLineChars="200"/>
        <w:rPr>
          <w:rFonts w:ascii="仿宋_GB2312" w:eastAsia="仿宋_GB2312"/>
          <w:sz w:val="32"/>
          <w:szCs w:val="32"/>
        </w:rPr>
      </w:pPr>
      <w:r>
        <w:rPr>
          <w:rFonts w:hint="eastAsia" w:ascii="仿宋_GB2312" w:eastAsia="仿宋_GB2312"/>
          <w:sz w:val="32"/>
          <w:szCs w:val="32"/>
        </w:rPr>
        <w:t>2022年度一般公共预算财政拨款支出1,484.38万元，占本年支出合计的100.00%，与上年相比，增加270.31万元，增长22.26%，主要原因是：2022年人员薪资调整；发放2017年一个季度的绩效工资，2020年一个季度的绩效工资。</w:t>
      </w:r>
    </w:p>
    <w:p>
      <w:pPr>
        <w:ind w:firstLine="640" w:firstLineChars="200"/>
        <w:outlineLvl w:val="1"/>
        <w:rPr>
          <w:rFonts w:ascii="黑体" w:hAnsi="黑体" w:eastAsia="黑体" w:cs="宋体"/>
          <w:kern w:val="0"/>
          <w:sz w:val="32"/>
          <w:szCs w:val="32"/>
        </w:rPr>
      </w:pPr>
      <w:r>
        <w:rPr>
          <w:rFonts w:hint="eastAsia" w:ascii="黑体" w:hAnsi="黑体" w:eastAsia="黑体" w:cs="宋体"/>
          <w:kern w:val="0"/>
          <w:sz w:val="32"/>
          <w:szCs w:val="32"/>
        </w:rPr>
        <w:t>（二）一般公共预算财政拨款支出决算结构情况</w:t>
      </w:r>
    </w:p>
    <w:p>
      <w:pPr>
        <w:ind w:firstLine="640" w:firstLineChars="200"/>
        <w:rPr>
          <w:rFonts w:ascii="仿宋_GB2312" w:eastAsia="仿宋_GB2312"/>
          <w:sz w:val="32"/>
          <w:szCs w:val="32"/>
        </w:rPr>
      </w:pPr>
      <w:r>
        <w:rPr>
          <w:rFonts w:hint="eastAsia" w:ascii="仿宋_GB2312" w:eastAsia="仿宋_GB2312"/>
          <w:sz w:val="32"/>
          <w:szCs w:val="32"/>
        </w:rPr>
        <w:t>1.教育支出（类）1,199.85万元，占80.83%。</w:t>
      </w:r>
    </w:p>
    <w:p>
      <w:pPr>
        <w:ind w:firstLine="640" w:firstLineChars="200"/>
        <w:rPr>
          <w:rFonts w:ascii="仿宋_GB2312" w:eastAsia="仿宋_GB2312"/>
          <w:sz w:val="32"/>
          <w:szCs w:val="32"/>
        </w:rPr>
      </w:pPr>
      <w:r>
        <w:rPr>
          <w:rFonts w:hint="eastAsia" w:ascii="仿宋_GB2312" w:eastAsia="仿宋_GB2312"/>
          <w:sz w:val="32"/>
          <w:szCs w:val="32"/>
        </w:rPr>
        <w:t>2.社会保障和就业支出（类）138.88万元，占9.36%。</w:t>
      </w:r>
    </w:p>
    <w:p>
      <w:pPr>
        <w:ind w:firstLine="640" w:firstLineChars="200"/>
        <w:rPr>
          <w:rFonts w:ascii="仿宋_GB2312" w:eastAsia="仿宋_GB2312"/>
          <w:sz w:val="32"/>
          <w:szCs w:val="32"/>
        </w:rPr>
      </w:pPr>
      <w:r>
        <w:rPr>
          <w:rFonts w:hint="eastAsia" w:ascii="仿宋_GB2312" w:eastAsia="仿宋_GB2312"/>
          <w:sz w:val="32"/>
          <w:szCs w:val="32"/>
        </w:rPr>
        <w:t>3.卫生健康支出（类）52.83万元，占3.56%。</w:t>
      </w:r>
    </w:p>
    <w:p>
      <w:pPr>
        <w:ind w:firstLine="640" w:firstLineChars="200"/>
        <w:rPr>
          <w:rFonts w:ascii="仿宋_GB2312" w:eastAsia="仿宋_GB2312"/>
          <w:sz w:val="32"/>
          <w:szCs w:val="32"/>
        </w:rPr>
      </w:pPr>
      <w:r>
        <w:rPr>
          <w:rFonts w:hint="eastAsia" w:ascii="仿宋_GB2312" w:eastAsia="仿宋_GB2312"/>
          <w:sz w:val="32"/>
          <w:szCs w:val="32"/>
        </w:rPr>
        <w:t>4.住房保障支出（类）92.82万元，占6.25%。</w:t>
      </w:r>
    </w:p>
    <w:p>
      <w:pPr>
        <w:ind w:firstLine="640" w:firstLineChars="200"/>
        <w:outlineLvl w:val="1"/>
        <w:rPr>
          <w:rFonts w:ascii="黑体" w:hAnsi="黑体" w:eastAsia="黑体" w:cs="宋体"/>
          <w:kern w:val="0"/>
          <w:sz w:val="32"/>
          <w:szCs w:val="32"/>
        </w:rPr>
      </w:pPr>
      <w:r>
        <w:rPr>
          <w:rFonts w:hint="eastAsia" w:ascii="黑体" w:hAnsi="黑体" w:eastAsia="黑体" w:cs="宋体"/>
          <w:kern w:val="0"/>
          <w:sz w:val="32"/>
          <w:szCs w:val="32"/>
        </w:rPr>
        <w:t>（三）一般公共预算财政拨款支出决算具体情况</w:t>
      </w:r>
    </w:p>
    <w:p>
      <w:pPr>
        <w:ind w:firstLine="640" w:firstLineChars="200"/>
        <w:rPr>
          <w:rFonts w:ascii="仿宋_GB2312" w:eastAsia="仿宋_GB2312"/>
          <w:sz w:val="32"/>
          <w:szCs w:val="32"/>
        </w:rPr>
      </w:pPr>
      <w:r>
        <w:rPr>
          <w:rFonts w:hint="eastAsia" w:ascii="仿宋_GB2312" w:eastAsia="仿宋_GB2312"/>
          <w:sz w:val="32"/>
          <w:szCs w:val="32"/>
        </w:rPr>
        <w:t>1.教育支出（类）普通教育（款）学前教育（项）：支出决算数为252.75万元，比上年决算增加7.64万元，增长3.12%，主要原因是：2022年人员薪资调整；发放2017年一个季度的绩效工资，2020年一个季度的绩效工资。</w:t>
      </w:r>
    </w:p>
    <w:p>
      <w:pPr>
        <w:ind w:firstLine="640" w:firstLineChars="200"/>
        <w:rPr>
          <w:rFonts w:ascii="仿宋_GB2312" w:eastAsia="仿宋_GB2312"/>
          <w:sz w:val="32"/>
          <w:szCs w:val="32"/>
        </w:rPr>
      </w:pPr>
      <w:r>
        <w:rPr>
          <w:rFonts w:hint="eastAsia" w:ascii="仿宋_GB2312" w:eastAsia="仿宋_GB2312"/>
          <w:sz w:val="32"/>
          <w:szCs w:val="32"/>
        </w:rPr>
        <w:t>2.教育支出（类）普通教育（款）小学教育（项）：支出决算数为947.10万元，比上年决算增加230.65万元，增长32.19%，主要原因是：2022年人员薪资调整；发放2017年一个季度的绩效工资，2020年一个季度的绩效工资。</w:t>
      </w:r>
    </w:p>
    <w:p>
      <w:pPr>
        <w:ind w:firstLine="640" w:firstLineChars="200"/>
        <w:rPr>
          <w:rFonts w:ascii="仿宋_GB2312" w:eastAsia="仿宋_GB2312"/>
          <w:sz w:val="32"/>
          <w:szCs w:val="32"/>
        </w:rPr>
      </w:pPr>
      <w:r>
        <w:rPr>
          <w:rFonts w:hint="eastAsia" w:ascii="仿宋_GB2312" w:eastAsia="仿宋_GB2312"/>
          <w:sz w:val="32"/>
          <w:szCs w:val="32"/>
        </w:rPr>
        <w:t>3.社会保障和就业支出（类）行政事业单位养老支出（款）事业单位离退休（项）：支出决算数为26.81万元，比上年决算增加2.66万元，增长11.06%，主要原因是：2022年退休人员薪资调整，发放一次性退休人员奖励性绩效。</w:t>
      </w:r>
    </w:p>
    <w:p>
      <w:pPr>
        <w:ind w:firstLine="640" w:firstLineChars="200"/>
        <w:rPr>
          <w:rFonts w:ascii="仿宋_GB2312" w:eastAsia="仿宋_GB2312"/>
          <w:sz w:val="32"/>
          <w:szCs w:val="32"/>
        </w:rPr>
      </w:pPr>
      <w:r>
        <w:rPr>
          <w:rFonts w:hint="eastAsia" w:ascii="仿宋_GB2312" w:eastAsia="仿宋_GB2312"/>
          <w:sz w:val="32"/>
          <w:szCs w:val="32"/>
        </w:rPr>
        <w:t>4.社会保障和就业支出（类）行政事业单位养老支出（款）机关事业单位基本养老保险缴费支出（项）：支出决算数为108.13万元，比上年决算增加9.67万元，增长9.82%，主要原因是：我单位全体教职工工资正常晋升、绩效工资调标，工资基数增加，机关事业单位基本养老保险基数提高，致使单位的机关事业单位基本养老保险增加。</w:t>
      </w:r>
    </w:p>
    <w:p>
      <w:pPr>
        <w:ind w:firstLine="640" w:firstLineChars="200"/>
        <w:rPr>
          <w:rFonts w:ascii="仿宋_GB2312" w:eastAsia="仿宋_GB2312"/>
          <w:sz w:val="32"/>
          <w:szCs w:val="32"/>
        </w:rPr>
      </w:pPr>
      <w:r>
        <w:rPr>
          <w:rFonts w:hint="eastAsia" w:ascii="仿宋_GB2312" w:eastAsia="仿宋_GB2312"/>
          <w:sz w:val="32"/>
          <w:szCs w:val="32"/>
        </w:rPr>
        <w:t>5.社会保障和就业支出（类）行政事业单位养老支出（款）机关事业单位职业年金缴费支出（项）：支出决算数为3.95万元，比上年决算增加3.95万元，增长100%，主要原因是：2021年12月我校退休老师1人</w:t>
      </w:r>
      <w:r>
        <w:rPr>
          <w:rFonts w:hint="eastAsia" w:ascii="仿宋_GB2312" w:eastAsia="仿宋_GB2312"/>
          <w:sz w:val="32"/>
          <w:szCs w:val="32"/>
          <w:lang w:eastAsia="zh-CN"/>
        </w:rPr>
        <w:t>，本年支出</w:t>
      </w:r>
      <w:r>
        <w:rPr>
          <w:rFonts w:hint="eastAsia" w:ascii="仿宋_GB2312" w:eastAsia="仿宋_GB2312"/>
          <w:sz w:val="32"/>
          <w:szCs w:val="32"/>
        </w:rPr>
        <w:t>职业年金缴费</w:t>
      </w:r>
      <w:r>
        <w:rPr>
          <w:rFonts w:hint="eastAsia" w:ascii="仿宋_GB2312" w:eastAsia="仿宋_GB2312"/>
          <w:sz w:val="32"/>
          <w:szCs w:val="32"/>
          <w:lang w:eastAsia="zh-CN"/>
        </w:rPr>
        <w:t>，上年无此支出</w:t>
      </w:r>
      <w:r>
        <w:rPr>
          <w:rFonts w:hint="eastAsia" w:ascii="仿宋_GB2312" w:eastAsia="仿宋_GB2312"/>
          <w:sz w:val="32"/>
          <w:szCs w:val="32"/>
        </w:rPr>
        <w:t>。</w:t>
      </w:r>
    </w:p>
    <w:p>
      <w:pPr>
        <w:ind w:firstLine="640" w:firstLineChars="200"/>
        <w:rPr>
          <w:rFonts w:ascii="仿宋_GB2312" w:eastAsia="仿宋_GB2312"/>
          <w:sz w:val="32"/>
          <w:szCs w:val="32"/>
        </w:rPr>
      </w:pPr>
      <w:r>
        <w:rPr>
          <w:rFonts w:hint="eastAsia" w:ascii="仿宋_GB2312" w:eastAsia="仿宋_GB2312"/>
          <w:sz w:val="32"/>
          <w:szCs w:val="32"/>
        </w:rPr>
        <w:t>6.卫生健康支出（类）行政事业单位医疗（款）事业单位医疗（项）：支出决算数为52.83万元，比上年决算减少3.25万元，下降5.80%，主要原因是：2022年事业单位医疗缴费基数比例下调，事业单位医疗支出减少。</w:t>
      </w:r>
    </w:p>
    <w:p>
      <w:pPr>
        <w:ind w:firstLine="640" w:firstLineChars="200"/>
        <w:rPr>
          <w:rFonts w:ascii="仿宋_GB2312" w:eastAsia="仿宋_GB2312"/>
          <w:sz w:val="32"/>
          <w:szCs w:val="32"/>
        </w:rPr>
      </w:pPr>
      <w:r>
        <w:rPr>
          <w:rFonts w:hint="eastAsia" w:ascii="仿宋_GB2312" w:eastAsia="仿宋_GB2312"/>
          <w:sz w:val="32"/>
          <w:szCs w:val="32"/>
        </w:rPr>
        <w:t>7.住房保障支出（类）住房改革支出（款）住房公积金（项）：支出决算数为92.82万元，比上年决算增加18.99万元，增长25.74%，主要原因是：2022年绩效工资调标，工资基数增加，住房公积金基数提高，单位的住房公积金增加。</w:t>
      </w:r>
    </w:p>
    <w:p>
      <w:pPr>
        <w:ind w:firstLine="640" w:firstLineChars="200"/>
        <w:rPr>
          <w:rFonts w:ascii="仿宋_GB2312" w:eastAsia="仿宋_GB2312"/>
          <w:sz w:val="32"/>
          <w:szCs w:val="32"/>
        </w:rPr>
      </w:pPr>
    </w:p>
    <w:p>
      <w:pPr>
        <w:ind w:firstLine="640" w:firstLineChars="200"/>
        <w:outlineLvl w:val="1"/>
        <w:rPr>
          <w:rFonts w:ascii="黑体" w:hAnsi="黑体" w:eastAsia="黑体" w:cs="宋体"/>
          <w:kern w:val="0"/>
          <w:sz w:val="32"/>
          <w:szCs w:val="32"/>
        </w:rPr>
      </w:pPr>
      <w:bookmarkStart w:id="18" w:name="_Toc30870"/>
      <w:bookmarkStart w:id="19" w:name="_Toc11146"/>
      <w:r>
        <w:rPr>
          <w:rFonts w:hint="eastAsia" w:ascii="黑体" w:hAnsi="黑体" w:eastAsia="黑体" w:cs="宋体"/>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hint="eastAsia" w:ascii="仿宋_GB2312" w:eastAsia="仿宋_GB2312"/>
          <w:sz w:val="32"/>
          <w:szCs w:val="32"/>
        </w:rPr>
        <w:t>2022年度一般公共预算财政拨款基本支出1,308.10万元，其中：</w:t>
      </w:r>
    </w:p>
    <w:p>
      <w:pPr>
        <w:ind w:firstLine="640" w:firstLineChars="200"/>
        <w:rPr>
          <w:rFonts w:ascii="仿宋_GB2312" w:eastAsia="仿宋_GB2312"/>
          <w:sz w:val="32"/>
          <w:szCs w:val="32"/>
        </w:rPr>
      </w:pPr>
      <w:r>
        <w:rPr>
          <w:rFonts w:hint="eastAsia" w:ascii="仿宋_GB2312" w:eastAsia="仿宋_GB2312"/>
          <w:sz w:val="32"/>
          <w:szCs w:val="32"/>
        </w:rPr>
        <w:t>人员经费1,299.38万元，包括：基本工资、津贴补贴、奖金、绩效工资、机关事业单位基本养老保险缴费、职业年金缴费、职工基本医疗保险缴费、其他社会保障缴费、住房公积金、其他工资福利支出、退休费、抚恤金、生活补助、助学金、奖励金。</w:t>
      </w:r>
    </w:p>
    <w:p>
      <w:pPr>
        <w:ind w:firstLine="640" w:firstLineChars="200"/>
        <w:rPr>
          <w:rFonts w:ascii="仿宋_GB2312" w:eastAsia="仿宋_GB2312"/>
          <w:sz w:val="32"/>
          <w:szCs w:val="32"/>
        </w:rPr>
      </w:pPr>
      <w:r>
        <w:rPr>
          <w:rFonts w:hint="eastAsia" w:ascii="仿宋_GB2312" w:eastAsia="仿宋_GB2312"/>
          <w:sz w:val="32"/>
          <w:szCs w:val="32"/>
        </w:rPr>
        <w:t>公用经费8.72万元，包括：取暖费。</w:t>
      </w:r>
    </w:p>
    <w:p>
      <w:pPr>
        <w:ind w:firstLine="640" w:firstLineChars="200"/>
        <w:outlineLvl w:val="1"/>
        <w:rPr>
          <w:rFonts w:ascii="黑体" w:hAnsi="黑体" w:eastAsia="黑体" w:cs="宋体"/>
          <w:kern w:val="0"/>
          <w:sz w:val="32"/>
          <w:szCs w:val="32"/>
        </w:rPr>
      </w:pPr>
      <w:bookmarkStart w:id="20" w:name="_Toc7190"/>
      <w:bookmarkStart w:id="21" w:name="_Toc21518"/>
      <w:r>
        <w:rPr>
          <w:rFonts w:hint="eastAsia" w:ascii="黑体" w:hAnsi="黑体" w:eastAsia="黑体" w:cs="宋体"/>
          <w:kern w:val="0"/>
          <w:sz w:val="32"/>
          <w:szCs w:val="32"/>
        </w:rPr>
        <w:t>七、财政拨款“三公”经费支出决算情况说明</w:t>
      </w:r>
      <w:bookmarkEnd w:id="20"/>
      <w:bookmarkEnd w:id="21"/>
    </w:p>
    <w:p>
      <w:pPr>
        <w:ind w:firstLine="640" w:firstLineChars="200"/>
        <w:rPr>
          <w:rFonts w:ascii="仿宋_GB2312" w:eastAsia="仿宋_GB2312"/>
          <w:sz w:val="32"/>
          <w:szCs w:val="32"/>
        </w:rPr>
      </w:pPr>
      <w:r>
        <w:rPr>
          <w:rFonts w:hint="eastAsia" w:ascii="仿宋_GB2312" w:eastAsia="仿宋_GB2312"/>
          <w:sz w:val="32"/>
          <w:szCs w:val="32"/>
        </w:rPr>
        <w:t>2022年度财政拨款“三公”经费支出决算0.00万元，比上年增加0.00万元，增长0.00%，主要原因是：我单位无“三公”经费支出。其中：因公出国（境）费支出0.00万元，占0.00%，比上年增加0.00万元，增长0.00%，主要原因是：我单位无因公出国（境）费支出；公务用车购置及运行维护费支出0.00万元，占0.00%，比上年增加0.00万元，增长0.00%，主要原因是：我单位无公务用车购置及运行维护费支出；公务接待费支出0.00万元，占0.00%，比上年增加0.00万元，增长0.00%，主要原因是：我单位无公务接待费支出。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因公出国（境）费支出0.00万元，开支内容包括我单位无因公出国（境）费支出。单位全年安排的因公出国（境）团组0个，因公出国（境）0人次。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0.00万元，其中：公务用车购置费0.00万元，公务用车运行维护费0.00万元。公务用车运行维护费开支内容包括我单位无公务用车运行维护费开支。公务用车购置数0辆，公务用车保有量0辆。</w:t>
      </w:r>
    </w:p>
    <w:p>
      <w:pPr>
        <w:ind w:firstLine="640" w:firstLineChars="200"/>
        <w:rPr>
          <w:rFonts w:ascii="仿宋_GB2312" w:eastAsia="仿宋_GB2312"/>
          <w:sz w:val="32"/>
          <w:szCs w:val="32"/>
        </w:rPr>
      </w:pPr>
      <w:r>
        <w:rPr>
          <w:rFonts w:hint="eastAsia" w:ascii="仿宋_GB2312" w:eastAsia="仿宋_GB2312"/>
          <w:sz w:val="32"/>
          <w:szCs w:val="32"/>
        </w:rPr>
        <w:t>公务接待费0.00万元，开支内容包括我单位无公务接待费。单位全年安排的国内公务接待0批次，0人次。</w:t>
      </w:r>
    </w:p>
    <w:p>
      <w:pPr>
        <w:ind w:firstLine="640" w:firstLineChars="200"/>
        <w:rPr>
          <w:rFonts w:ascii="仿宋_GB2312" w:eastAsia="仿宋_GB2312"/>
          <w:sz w:val="32"/>
          <w:szCs w:val="32"/>
        </w:rPr>
      </w:pPr>
      <w:r>
        <w:rPr>
          <w:rFonts w:hint="eastAsia" w:ascii="仿宋_GB2312" w:eastAsia="仿宋_GB2312"/>
          <w:sz w:val="32"/>
          <w:szCs w:val="32"/>
        </w:rPr>
        <w:t>与全年预算数相比情况：“三公”经费支出全年预算数0.00万元，决算数0.00万元，预决算差异率0.00%，主要原因是：我单位未安排财政拨款“三公”经费支出，预决算无差异。其中：因公出国（境）费全年预算数0.00万元，决算数0.00万元，预决算差异率0.00%，主要原因是：我单位未安排因公出国（境）费，预决算无差异；公务用车购置费全年预算数0.00万元，决算数0.00万元，预决算差异率0.00%，主要原因是：我单位未安排公务用车购置费，预决算无差异；</w:t>
      </w:r>
      <w:r>
        <w:rPr>
          <w:rFonts w:hint="eastAsia" w:ascii="仿宋_GB2312" w:hAnsi="宋体" w:eastAsia="仿宋_GB2312" w:cs="宋体"/>
          <w:kern w:val="0"/>
          <w:sz w:val="32"/>
          <w:szCs w:val="32"/>
        </w:rPr>
        <w:t>公务用车运行费全年预算数0.00万元，决算数0.00万元，预决算差异率0.00%，主要原因是：我单位未安排公务用车运行费，预决算无差异；</w:t>
      </w:r>
      <w:r>
        <w:rPr>
          <w:rFonts w:hint="eastAsia" w:ascii="仿宋_GB2312" w:eastAsia="仿宋_GB2312"/>
          <w:sz w:val="32"/>
          <w:szCs w:val="32"/>
        </w:rPr>
        <w:t>公务接待费全年预算数0.00万元，决算数0.00万元，预决算差异率0.00%，主要原因是：我单位未安排公务接待费，预决算无差异。</w:t>
      </w:r>
    </w:p>
    <w:p>
      <w:pPr>
        <w:ind w:firstLine="640" w:firstLineChars="200"/>
        <w:outlineLvl w:val="1"/>
        <w:rPr>
          <w:rFonts w:ascii="黑体" w:hAnsi="黑体" w:eastAsia="黑体" w:cs="宋体"/>
          <w:kern w:val="0"/>
          <w:sz w:val="32"/>
          <w:szCs w:val="32"/>
        </w:rPr>
      </w:pPr>
      <w:bookmarkStart w:id="22" w:name="_Toc5810"/>
      <w:bookmarkStart w:id="23" w:name="_Toc7927"/>
      <w:r>
        <w:rPr>
          <w:rFonts w:hint="eastAsia" w:ascii="黑体" w:hAnsi="黑体" w:eastAsia="黑体" w:cs="宋体"/>
          <w:kern w:val="0"/>
          <w:sz w:val="32"/>
          <w:szCs w:val="32"/>
        </w:rPr>
        <w:t>八、政府性基金预算财政拨款收入支出决算情况说明</w:t>
      </w:r>
      <w:bookmarkEnd w:id="22"/>
      <w:bookmarkEnd w:id="23"/>
    </w:p>
    <w:p>
      <w:pPr>
        <w:ind w:firstLine="640" w:firstLineChars="200"/>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pPr>
        <w:ind w:firstLine="640" w:firstLineChars="200"/>
        <w:outlineLvl w:val="1"/>
        <w:rPr>
          <w:rFonts w:ascii="黑体" w:hAnsi="黑体" w:eastAsia="黑体" w:cs="宋体"/>
          <w:kern w:val="0"/>
          <w:sz w:val="32"/>
          <w:szCs w:val="32"/>
        </w:rPr>
      </w:pPr>
      <w:r>
        <w:rPr>
          <w:rFonts w:hint="eastAsia" w:ascii="黑体" w:hAnsi="黑体" w:eastAsia="黑体" w:cs="宋体"/>
          <w:kern w:val="0"/>
          <w:sz w:val="32"/>
          <w:szCs w:val="32"/>
        </w:rPr>
        <w:t>九、国有资本经营预算财政拨款收入支出决算情况说明</w:t>
      </w:r>
    </w:p>
    <w:p>
      <w:pPr>
        <w:ind w:firstLine="640" w:firstLineChars="200"/>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pPr>
        <w:ind w:firstLine="640" w:firstLineChars="200"/>
        <w:outlineLvl w:val="1"/>
        <w:rPr>
          <w:rFonts w:ascii="黑体" w:hAnsi="黑体" w:eastAsia="黑体" w:cs="宋体"/>
          <w:kern w:val="0"/>
          <w:sz w:val="32"/>
          <w:szCs w:val="32"/>
        </w:rPr>
      </w:pPr>
      <w:bookmarkStart w:id="24" w:name="_Toc1235"/>
      <w:bookmarkStart w:id="25" w:name="_Toc7314"/>
      <w:r>
        <w:rPr>
          <w:rFonts w:hint="eastAsia" w:ascii="黑体" w:hAnsi="黑体" w:eastAsia="黑体" w:cs="宋体"/>
          <w:kern w:val="0"/>
          <w:sz w:val="32"/>
          <w:szCs w:val="32"/>
        </w:rPr>
        <w:t>十、其他重要事项的情况说明</w:t>
      </w:r>
      <w:bookmarkEnd w:id="24"/>
      <w:bookmarkEnd w:id="25"/>
    </w:p>
    <w:p>
      <w:pPr>
        <w:ind w:firstLine="640" w:firstLineChars="200"/>
        <w:outlineLvl w:val="2"/>
        <w:rPr>
          <w:rFonts w:ascii="黑体" w:hAnsi="黑体" w:eastAsia="黑体"/>
          <w:sz w:val="32"/>
          <w:szCs w:val="32"/>
        </w:rPr>
      </w:pPr>
      <w:bookmarkStart w:id="26" w:name="_Toc14519"/>
      <w:bookmarkStart w:id="27" w:name="_Toc13105"/>
      <w:r>
        <w:rPr>
          <w:rFonts w:hint="eastAsia" w:ascii="黑体" w:hAnsi="黑体" w:eastAsia="黑体"/>
          <w:sz w:val="32"/>
          <w:szCs w:val="32"/>
        </w:rPr>
        <w:t>（一）机关运行经费支出情况</w:t>
      </w:r>
      <w:bookmarkEnd w:id="26"/>
      <w:bookmarkEnd w:id="27"/>
    </w:p>
    <w:p>
      <w:pPr>
        <w:ind w:firstLine="640" w:firstLineChars="200"/>
        <w:rPr>
          <w:rFonts w:ascii="仿宋_GB2312" w:eastAsia="仿宋_GB2312"/>
          <w:sz w:val="32"/>
          <w:szCs w:val="32"/>
        </w:rPr>
      </w:pPr>
      <w:r>
        <w:rPr>
          <w:rFonts w:hint="eastAsia" w:ascii="仿宋_GB2312" w:eastAsia="仿宋_GB2312"/>
          <w:sz w:val="32"/>
          <w:szCs w:val="32"/>
        </w:rPr>
        <w:t>2022年度新疆塔城地区额敏县二支河牧场寄宿制中心小学（事业单位）公用经费8.72万元，比上年增加8.72万元，增长100%，主要原因是：2022年度我单位部分取暖费从公用经费中支付，2021年取暖费从项目经费中列支。</w:t>
      </w:r>
    </w:p>
    <w:p>
      <w:pPr>
        <w:ind w:firstLine="640" w:firstLineChars="200"/>
        <w:outlineLvl w:val="2"/>
        <w:rPr>
          <w:rFonts w:ascii="黑体" w:hAnsi="黑体" w:eastAsia="黑体"/>
          <w:sz w:val="32"/>
          <w:szCs w:val="32"/>
        </w:rPr>
      </w:pPr>
      <w:bookmarkStart w:id="28" w:name="_Toc26704"/>
      <w:bookmarkStart w:id="29" w:name="_Toc227"/>
      <w:r>
        <w:rPr>
          <w:rFonts w:hint="eastAsia" w:ascii="黑体" w:hAnsi="黑体" w:eastAsia="黑体"/>
          <w:sz w:val="32"/>
          <w:szCs w:val="32"/>
        </w:rPr>
        <w:t>（二）政府采购情况</w:t>
      </w:r>
      <w:bookmarkEnd w:id="28"/>
      <w:bookmarkEnd w:id="29"/>
    </w:p>
    <w:p>
      <w:pPr>
        <w:ind w:firstLine="640" w:firstLineChars="200"/>
        <w:rPr>
          <w:rFonts w:ascii="仿宋_GB2312" w:eastAsia="仿宋_GB2312"/>
          <w:sz w:val="32"/>
          <w:szCs w:val="32"/>
        </w:rPr>
      </w:pPr>
      <w:r>
        <w:rPr>
          <w:rFonts w:hint="eastAsia" w:ascii="仿宋_GB2312" w:eastAsia="仿宋_GB2312"/>
          <w:sz w:val="32"/>
          <w:szCs w:val="32"/>
        </w:rPr>
        <w:t>2022年度政府采购支出总额12.04万元，其中：政府采购货物支出12.01万元、政府采购工程支出0.00万元、政府采购服务支出0.03万元。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授予中小企业合同金额12.04万元，占政府采购支出总额的100.00%，其中：授予小微企业合同金额12.04万元，占政府采购支出总额的100.00%。</w:t>
      </w:r>
    </w:p>
    <w:p>
      <w:pPr>
        <w:ind w:firstLine="640" w:firstLineChars="200"/>
        <w:outlineLvl w:val="2"/>
        <w:rPr>
          <w:rFonts w:ascii="黑体" w:hAnsi="黑体" w:eastAsia="黑体"/>
          <w:sz w:val="32"/>
          <w:szCs w:val="32"/>
        </w:rPr>
      </w:pPr>
      <w:bookmarkStart w:id="30" w:name="_Toc4591"/>
      <w:bookmarkStart w:id="31" w:name="_Toc8391"/>
      <w:r>
        <w:rPr>
          <w:rFonts w:hint="eastAsia" w:ascii="黑体" w:hAnsi="黑体" w:eastAsia="黑体"/>
          <w:sz w:val="32"/>
          <w:szCs w:val="32"/>
        </w:rPr>
        <w:t>（三）国有资产占用情况说明</w:t>
      </w:r>
      <w:bookmarkEnd w:id="30"/>
      <w:bookmarkEnd w:id="31"/>
    </w:p>
    <w:p>
      <w:pPr>
        <w:ind w:firstLine="640" w:firstLineChars="200"/>
        <w:rPr>
          <w:rFonts w:ascii="仿宋_GB2312" w:eastAsia="仿宋_GB2312"/>
          <w:sz w:val="32"/>
          <w:szCs w:val="32"/>
        </w:rPr>
      </w:pPr>
      <w:r>
        <w:rPr>
          <w:rFonts w:hint="eastAsia" w:ascii="仿宋_GB2312" w:eastAsia="仿宋_GB2312"/>
          <w:sz w:val="32"/>
          <w:szCs w:val="32"/>
        </w:rPr>
        <w:t>截止2022年12月31日，固定资产原值1,671.97万元，房屋6,688.81平方米，价值1,305.44万元。车辆0辆，价值0.00万元，其中：副部（省）级及以上领导用车0辆、主要领导干部用车0辆、机要通信用车0辆、应急保障用车0辆、执法执勤用车0辆、特种专业技术用车0辆、离退休干部用车0辆、其他用车0辆，其他用车主要是：我单位无其他用车；单价100万元（含）以上设备（不含车辆）0台（套）。</w:t>
      </w:r>
    </w:p>
    <w:p>
      <w:pPr>
        <w:ind w:firstLine="640" w:firstLineChars="200"/>
        <w:outlineLvl w:val="1"/>
        <w:rPr>
          <w:rFonts w:ascii="黑体" w:hAnsi="黑体" w:eastAsia="黑体" w:cs="宋体"/>
          <w:kern w:val="0"/>
          <w:sz w:val="32"/>
          <w:szCs w:val="32"/>
        </w:rPr>
      </w:pPr>
      <w:bookmarkStart w:id="32" w:name="_Toc11283"/>
      <w:bookmarkStart w:id="33" w:name="_Toc435"/>
      <w:r>
        <w:rPr>
          <w:rFonts w:hint="eastAsia" w:ascii="黑体" w:hAnsi="黑体" w:eastAsia="黑体" w:cs="宋体"/>
          <w:kern w:val="0"/>
          <w:sz w:val="32"/>
          <w:szCs w:val="32"/>
        </w:rPr>
        <w:t>十一、预算绩效的情况说明</w:t>
      </w:r>
      <w:bookmarkEnd w:id="32"/>
      <w:bookmarkEnd w:id="33"/>
    </w:p>
    <w:p>
      <w:pPr>
        <w:ind w:firstLine="640" w:firstLineChars="200"/>
        <w:jc w:val="left"/>
        <w:outlineLvl w:val="0"/>
        <w:rPr>
          <w:rFonts w:hint="eastAsia" w:ascii="仿宋_GB2312" w:eastAsia="仿宋_GB2312"/>
          <w:sz w:val="32"/>
          <w:szCs w:val="32"/>
        </w:rPr>
      </w:pPr>
      <w:bookmarkStart w:id="34" w:name="_Toc24143"/>
      <w:bookmarkStart w:id="35" w:name="_Toc3250"/>
      <w:r>
        <w:rPr>
          <w:rFonts w:hint="eastAsia" w:ascii="仿宋_GB2312" w:eastAsia="仿宋_GB2312"/>
          <w:sz w:val="32"/>
          <w:szCs w:val="32"/>
        </w:rPr>
        <w:t>根据预算绩效管理要求，我单位2022年度开展预算绩效评价项目0个，全年预算数0.00万元，全年执行数0.00万元。预算绩效管理取得的成效：按照年初绩效录入要求，我单位2022年度项目绩效统一录入教科局绩效系统，本单位绩效不单独反映。发现的问题及原因：我单位2022年度项目绩效统一录入教科局绩效系统，本单位绩效不单独反映。下一步改进措施：我单位继续严格按照教科局关于绩效录入的统一安排，不单独反映绩效自评，避免了绩效系统各学校间同</w:t>
      </w:r>
      <w:bookmarkStart w:id="54" w:name="_GoBack"/>
      <w:bookmarkEnd w:id="54"/>
      <w:r>
        <w:rPr>
          <w:rFonts w:hint="eastAsia" w:ascii="仿宋_GB2312" w:eastAsia="仿宋_GB2312"/>
          <w:sz w:val="32"/>
          <w:szCs w:val="32"/>
        </w:rPr>
        <w:t>项目重复。</w:t>
      </w:r>
    </w:p>
    <w:p>
      <w:pPr>
        <w:ind w:firstLine="562" w:firstLineChars="200"/>
        <w:jc w:val="center"/>
        <w:outlineLvl w:val="0"/>
        <w:rPr>
          <w:rFonts w:ascii="黑体" w:hAnsi="黑体" w:eastAsia="黑体"/>
          <w:sz w:val="32"/>
          <w:szCs w:val="32"/>
        </w:rPr>
      </w:pPr>
      <w:r>
        <w:rPr>
          <w:rFonts w:ascii="黑体"/>
          <w:b/>
          <w:kern w:val="44"/>
          <w:sz w:val="28"/>
        </w:rPr>
        <w:br w:type="page"/>
      </w:r>
      <w:r>
        <w:rPr>
          <w:rFonts w:ascii="黑体"/>
          <w:b/>
          <w:spacing w:val="40"/>
          <w:sz w:val="28"/>
        </w:rPr>
        <w:t xml:space="preserve"> </w:t>
      </w:r>
      <w:r>
        <w:rPr>
          <w:rFonts w:hint="eastAsia" w:ascii="黑体" w:hAnsi="黑体" w:eastAsia="黑体"/>
          <w:sz w:val="32"/>
          <w:szCs w:val="32"/>
        </w:rPr>
        <w:t>第三部分 专业名词解释</w:t>
      </w:r>
      <w:bookmarkEnd w:id="34"/>
      <w:bookmarkEnd w:id="35"/>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0" w:firstLineChars="200"/>
        <w:rPr>
          <w:rFonts w:ascii="仿宋_GB2312" w:eastAsia="仿宋_GB2312"/>
          <w:sz w:val="32"/>
          <w:szCs w:val="32"/>
        </w:rPr>
      </w:pPr>
      <w:r>
        <w:rPr>
          <w:rFonts w:hint="eastAsia" w:ascii="仿宋_GB2312" w:eastAsia="仿宋_GB2312"/>
          <w:sz w:val="32"/>
          <w:szCs w:val="32"/>
        </w:rPr>
        <w:t>机关运行经费：行政单位和参照公务员法管理的事业单位财政拨款基本支出中的公用经费支出。</w:t>
      </w:r>
    </w:p>
    <w:p>
      <w:pPr>
        <w:ind w:firstLine="562" w:firstLineChars="200"/>
        <w:jc w:val="center"/>
        <w:outlineLvl w:val="0"/>
        <w:rPr>
          <w:rFonts w:ascii="黑体" w:hAnsi="黑体" w:eastAsia="黑体"/>
          <w:sz w:val="32"/>
          <w:szCs w:val="32"/>
        </w:rPr>
      </w:pPr>
      <w:bookmarkStart w:id="36" w:name="_Toc28903"/>
      <w:bookmarkStart w:id="37" w:name="_Toc22784"/>
      <w:r>
        <w:rPr>
          <w:rFonts w:ascii="黑体"/>
          <w:b/>
          <w:kern w:val="44"/>
          <w:sz w:val="28"/>
        </w:rPr>
        <w:br w:type="page"/>
      </w:r>
      <w:r>
        <w:rPr>
          <w:rFonts w:ascii="黑体"/>
          <w:b/>
          <w:spacing w:val="40"/>
          <w:sz w:val="28"/>
        </w:rPr>
        <w:t xml:space="preserve"> </w:t>
      </w:r>
      <w:r>
        <w:rPr>
          <w:rFonts w:hint="eastAsia" w:ascii="黑体" w:hAnsi="黑体" w:eastAsia="黑体"/>
          <w:sz w:val="32"/>
          <w:szCs w:val="32"/>
        </w:rPr>
        <w:t>第四部分 部门决算报表（见附表）</w:t>
      </w:r>
      <w:bookmarkEnd w:id="36"/>
      <w:bookmarkEnd w:id="37"/>
    </w:p>
    <w:p>
      <w:pPr>
        <w:ind w:firstLine="640" w:firstLineChars="200"/>
        <w:outlineLvl w:val="1"/>
        <w:rPr>
          <w:rFonts w:ascii="黑体" w:hAnsi="黑体" w:eastAsia="黑体" w:cs="宋体"/>
          <w:kern w:val="0"/>
          <w:sz w:val="32"/>
          <w:szCs w:val="32"/>
        </w:rPr>
      </w:pPr>
      <w:bookmarkStart w:id="38" w:name="_Toc2183"/>
      <w:bookmarkStart w:id="39" w:name="_Toc6062"/>
      <w:r>
        <w:rPr>
          <w:rFonts w:hint="eastAsia" w:ascii="黑体" w:hAnsi="黑体" w:eastAsia="黑体" w:cs="宋体"/>
          <w:kern w:val="0"/>
          <w:sz w:val="32"/>
          <w:szCs w:val="32"/>
        </w:rPr>
        <w:t>一、《收入支出决算总表》</w:t>
      </w:r>
      <w:bookmarkEnd w:id="38"/>
      <w:bookmarkEnd w:id="39"/>
    </w:p>
    <w:p>
      <w:pPr>
        <w:ind w:firstLine="640" w:firstLineChars="200"/>
        <w:outlineLvl w:val="1"/>
        <w:rPr>
          <w:rFonts w:ascii="黑体" w:hAnsi="黑体" w:eastAsia="黑体" w:cs="宋体"/>
          <w:kern w:val="0"/>
          <w:sz w:val="32"/>
          <w:szCs w:val="32"/>
        </w:rPr>
      </w:pPr>
      <w:bookmarkStart w:id="40" w:name="_Toc24532"/>
      <w:bookmarkStart w:id="41" w:name="_Toc30364"/>
      <w:r>
        <w:rPr>
          <w:rFonts w:hint="eastAsia" w:ascii="黑体" w:hAnsi="黑体" w:eastAsia="黑体" w:cs="宋体"/>
          <w:kern w:val="0"/>
          <w:sz w:val="32"/>
          <w:szCs w:val="32"/>
        </w:rPr>
        <w:t>二、《收入决算表》</w:t>
      </w:r>
      <w:bookmarkEnd w:id="40"/>
      <w:bookmarkEnd w:id="41"/>
    </w:p>
    <w:p>
      <w:pPr>
        <w:ind w:firstLine="640" w:firstLineChars="200"/>
        <w:outlineLvl w:val="1"/>
        <w:rPr>
          <w:rFonts w:ascii="黑体" w:hAnsi="黑体" w:eastAsia="黑体" w:cs="宋体"/>
          <w:kern w:val="0"/>
          <w:sz w:val="32"/>
          <w:szCs w:val="32"/>
        </w:rPr>
      </w:pPr>
      <w:bookmarkStart w:id="42" w:name="_Toc21304"/>
      <w:bookmarkStart w:id="43" w:name="_Toc32434"/>
      <w:r>
        <w:rPr>
          <w:rFonts w:hint="eastAsia" w:ascii="黑体" w:hAnsi="黑体" w:eastAsia="黑体" w:cs="宋体"/>
          <w:kern w:val="0"/>
          <w:sz w:val="32"/>
          <w:szCs w:val="32"/>
        </w:rPr>
        <w:t>三、《支出决算表》</w:t>
      </w:r>
      <w:bookmarkEnd w:id="42"/>
      <w:bookmarkEnd w:id="43"/>
    </w:p>
    <w:p>
      <w:pPr>
        <w:ind w:firstLine="640" w:firstLineChars="200"/>
        <w:outlineLvl w:val="1"/>
        <w:rPr>
          <w:rFonts w:ascii="黑体" w:hAnsi="黑体" w:eastAsia="黑体" w:cs="宋体"/>
          <w:kern w:val="0"/>
          <w:sz w:val="32"/>
          <w:szCs w:val="32"/>
        </w:rPr>
      </w:pPr>
      <w:bookmarkStart w:id="44" w:name="_Toc14238"/>
      <w:bookmarkStart w:id="45" w:name="_Toc28786"/>
      <w:r>
        <w:rPr>
          <w:rFonts w:hint="eastAsia" w:ascii="黑体" w:hAnsi="黑体" w:eastAsia="黑体" w:cs="宋体"/>
          <w:kern w:val="0"/>
          <w:sz w:val="32"/>
          <w:szCs w:val="32"/>
        </w:rPr>
        <w:t>四、《财政拨款收入支出决算总表》</w:t>
      </w:r>
      <w:bookmarkEnd w:id="44"/>
      <w:bookmarkEnd w:id="45"/>
    </w:p>
    <w:p>
      <w:pPr>
        <w:ind w:firstLine="640" w:firstLineChars="200"/>
        <w:outlineLvl w:val="1"/>
        <w:rPr>
          <w:rFonts w:ascii="黑体" w:hAnsi="黑体" w:eastAsia="黑体" w:cs="宋体"/>
          <w:kern w:val="0"/>
          <w:sz w:val="32"/>
          <w:szCs w:val="32"/>
        </w:rPr>
      </w:pPr>
      <w:bookmarkStart w:id="46" w:name="_Toc10347"/>
      <w:bookmarkStart w:id="47" w:name="_Toc14869"/>
      <w:r>
        <w:rPr>
          <w:rFonts w:hint="eastAsia" w:ascii="黑体" w:hAnsi="黑体" w:eastAsia="黑体" w:cs="宋体"/>
          <w:kern w:val="0"/>
          <w:sz w:val="32"/>
          <w:szCs w:val="32"/>
        </w:rPr>
        <w:t>五、《一般公共预算财政拨款支出决算表》</w:t>
      </w:r>
      <w:bookmarkEnd w:id="46"/>
      <w:bookmarkEnd w:id="47"/>
    </w:p>
    <w:p>
      <w:pPr>
        <w:ind w:firstLine="640" w:firstLineChars="200"/>
        <w:outlineLvl w:val="1"/>
        <w:rPr>
          <w:rFonts w:ascii="黑体" w:hAnsi="黑体" w:eastAsia="黑体" w:cs="宋体"/>
          <w:kern w:val="0"/>
          <w:sz w:val="32"/>
          <w:szCs w:val="32"/>
        </w:rPr>
      </w:pPr>
      <w:bookmarkStart w:id="48" w:name="_Toc5626"/>
      <w:bookmarkStart w:id="49" w:name="_Toc8884"/>
      <w:r>
        <w:rPr>
          <w:rFonts w:hint="eastAsia" w:ascii="黑体" w:hAnsi="黑体" w:eastAsia="黑体" w:cs="宋体"/>
          <w:kern w:val="0"/>
          <w:sz w:val="32"/>
          <w:szCs w:val="32"/>
        </w:rPr>
        <w:t>六、《一般公共预算财政拨款基本支出决算表》</w:t>
      </w:r>
      <w:bookmarkEnd w:id="48"/>
      <w:bookmarkEnd w:id="49"/>
    </w:p>
    <w:p>
      <w:pPr>
        <w:ind w:firstLine="640" w:firstLineChars="200"/>
        <w:outlineLvl w:val="1"/>
        <w:rPr>
          <w:rFonts w:ascii="黑体" w:hAnsi="黑体" w:eastAsia="黑体" w:cs="宋体"/>
          <w:kern w:val="0"/>
          <w:sz w:val="32"/>
          <w:szCs w:val="32"/>
        </w:rPr>
      </w:pPr>
      <w:bookmarkStart w:id="50" w:name="_Toc32663"/>
      <w:bookmarkStart w:id="51" w:name="_Toc29106"/>
      <w:r>
        <w:rPr>
          <w:rFonts w:hint="eastAsia" w:ascii="黑体" w:hAnsi="黑体" w:eastAsia="黑体" w:cs="宋体"/>
          <w:kern w:val="0"/>
          <w:sz w:val="32"/>
          <w:szCs w:val="32"/>
        </w:rPr>
        <w:t>七、《财政拨款“三公”经费支出决算表》</w:t>
      </w:r>
      <w:bookmarkEnd w:id="50"/>
      <w:bookmarkEnd w:id="51"/>
    </w:p>
    <w:p>
      <w:pPr>
        <w:ind w:firstLine="640" w:firstLineChars="200"/>
        <w:outlineLvl w:val="1"/>
        <w:rPr>
          <w:rFonts w:ascii="黑体" w:hAnsi="黑体" w:eastAsia="黑体" w:cs="宋体"/>
          <w:kern w:val="0"/>
          <w:sz w:val="32"/>
          <w:szCs w:val="32"/>
        </w:rPr>
      </w:pPr>
      <w:bookmarkStart w:id="52" w:name="_Toc5453"/>
      <w:bookmarkStart w:id="53" w:name="_Toc7643"/>
      <w:r>
        <w:rPr>
          <w:rFonts w:hint="eastAsia" w:ascii="黑体" w:hAnsi="黑体" w:eastAsia="黑体" w:cs="宋体"/>
          <w:kern w:val="0"/>
          <w:sz w:val="32"/>
          <w:szCs w:val="32"/>
        </w:rPr>
        <w:t>八、《政府性基金预算财政拨款收入支出决算表》</w:t>
      </w:r>
      <w:bookmarkEnd w:id="52"/>
      <w:bookmarkEnd w:id="53"/>
    </w:p>
    <w:p>
      <w:pPr>
        <w:ind w:firstLine="640" w:firstLineChars="200"/>
        <w:outlineLvl w:val="1"/>
        <w:rPr>
          <w:rFonts w:ascii="黑体" w:hAnsi="黑体" w:eastAsia="黑体" w:cs="宋体"/>
          <w:kern w:val="0"/>
          <w:sz w:val="32"/>
          <w:szCs w:val="32"/>
        </w:rPr>
      </w:pPr>
      <w:r>
        <w:rPr>
          <w:rFonts w:hint="eastAsia" w:ascii="黑体" w:hAnsi="黑体" w:eastAsia="黑体" w:cs="宋体"/>
          <w:kern w:val="0"/>
          <w:sz w:val="32"/>
          <w:szCs w:val="32"/>
        </w:rPr>
        <w:t>九、《国有资本经营预算财政拨款收入支出决算表》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center" w:pos="4153"/>
        <w:tab w:val="right" w:pos="8306"/>
      </w:tabs>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JOtIW7dAQAAvgMAAA4AAAAAAAAA&#10;AQAgAAAAHgEAAGRycy9lMm9Eb2MueG1sUEsFBgAAAAAGAAYAWQEAAG0FAAAAAA==&#10;">
          <v:path/>
          <v:fill on="f" focussize="0,0"/>
          <v:stroke on="f" joinstyle="miter"/>
          <v:imagedata o:title=""/>
          <o:lock v:ext="edit"/>
          <v:textbox inset="0mm,0mm,0mm,0mm" style="mso-fit-shape-to-text:t;">
            <w:txbxContent>
              <w:p>
                <w:pPr>
                  <w:pStyle w:val="4"/>
                  <w:tabs>
                    <w:tab w:val="center" w:pos="4153"/>
                    <w:tab w:val="right" w:pos="8306"/>
                  </w:tabs>
                </w:pPr>
                <w:r>
                  <w:rPr>
                    <w:rFonts w:hint="eastAsia"/>
                  </w:rPr>
                  <w:fldChar w:fldCharType="begin"/>
                </w:r>
                <w:r>
                  <w:rPr>
                    <w:rFonts w:hint="eastAsia"/>
                  </w:rPr>
                  <w:instrText xml:space="preserve"> PAGE \* MERGEFORMAT</w:instrText>
                </w:r>
                <w:r>
                  <w:rPr>
                    <w:rFonts w:hint="eastAsia"/>
                  </w:rPr>
                  <w:fldChar w:fldCharType="separate"/>
                </w:r>
                <w:r>
                  <w:t>10</w:t>
                </w:r>
                <w:r>
                  <w:rPr>
                    <w:rFonts w:hint="eastAsia"/>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ulTrailSpace/>
    <w:doNotExpandShiftReturn/>
    <w:adjustLineHeightInTable/>
    <w:useFELayout/>
    <w:compatSetting w:name="compatibilityMode" w:uri="http://schemas.microsoft.com/office/word" w:val="12"/>
  </w:compat>
  <w:docVars>
    <w:docVar w:name="commondata" w:val="eyJoZGlkIjoiZDEzZmRjNGE1MWFhMmQ5YTI4N2U2NGVhNTI5YmQ5NzAifQ=="/>
  </w:docVars>
  <w:rsids>
    <w:rsidRoot w:val="0005421A"/>
    <w:rsid w:val="0005421A"/>
    <w:rsid w:val="00272B53"/>
    <w:rsid w:val="00292C03"/>
    <w:rsid w:val="0063015B"/>
    <w:rsid w:val="006A532A"/>
    <w:rsid w:val="00752E9A"/>
    <w:rsid w:val="00855723"/>
    <w:rsid w:val="008A09AF"/>
    <w:rsid w:val="008E3B09"/>
    <w:rsid w:val="00A01552"/>
    <w:rsid w:val="00D6729A"/>
    <w:rsid w:val="011B1865"/>
    <w:rsid w:val="03AF1619"/>
    <w:rsid w:val="04533DAC"/>
    <w:rsid w:val="09383E5F"/>
    <w:rsid w:val="0BF00A21"/>
    <w:rsid w:val="0FC14BAE"/>
    <w:rsid w:val="132A2A6A"/>
    <w:rsid w:val="138959E3"/>
    <w:rsid w:val="1598015F"/>
    <w:rsid w:val="1684272B"/>
    <w:rsid w:val="1B5F2A77"/>
    <w:rsid w:val="1EB06519"/>
    <w:rsid w:val="2027280B"/>
    <w:rsid w:val="208A2D9A"/>
    <w:rsid w:val="21FC1A76"/>
    <w:rsid w:val="284B6FA9"/>
    <w:rsid w:val="29565F0F"/>
    <w:rsid w:val="2B8A1EA0"/>
    <w:rsid w:val="30751371"/>
    <w:rsid w:val="30CE0A81"/>
    <w:rsid w:val="327A2C6E"/>
    <w:rsid w:val="33567368"/>
    <w:rsid w:val="33D20888"/>
    <w:rsid w:val="341113B0"/>
    <w:rsid w:val="38C509BB"/>
    <w:rsid w:val="3D2263DC"/>
    <w:rsid w:val="3E4E3201"/>
    <w:rsid w:val="40104C12"/>
    <w:rsid w:val="42F425C9"/>
    <w:rsid w:val="43175E5F"/>
    <w:rsid w:val="43D63ABF"/>
    <w:rsid w:val="46641814"/>
    <w:rsid w:val="47D604EF"/>
    <w:rsid w:val="4A174DEF"/>
    <w:rsid w:val="4E1C146B"/>
    <w:rsid w:val="50154D59"/>
    <w:rsid w:val="511D718F"/>
    <w:rsid w:val="52D65847"/>
    <w:rsid w:val="53407165"/>
    <w:rsid w:val="57323268"/>
    <w:rsid w:val="57FF75EE"/>
    <w:rsid w:val="589C308F"/>
    <w:rsid w:val="5CD01559"/>
    <w:rsid w:val="604D742C"/>
    <w:rsid w:val="613D2F35"/>
    <w:rsid w:val="62303B3F"/>
    <w:rsid w:val="629A75B3"/>
    <w:rsid w:val="639C03E7"/>
    <w:rsid w:val="6A535578"/>
    <w:rsid w:val="6B1C3BBC"/>
    <w:rsid w:val="6B855C05"/>
    <w:rsid w:val="6FE6415D"/>
    <w:rsid w:val="74CB28DA"/>
    <w:rsid w:val="7B027FE0"/>
    <w:rsid w:val="7E971A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snapToGrid w:val="0"/>
      <w:jc w:val="left"/>
    </w:pPr>
    <w:rPr>
      <w:sz w:val="18"/>
    </w:rPr>
  </w:style>
  <w:style w:type="paragraph" w:styleId="5">
    <w:name w:val="header"/>
    <w:basedOn w:val="1"/>
    <w:qFormat/>
    <w:uiPriority w:val="0"/>
    <w:pPr>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1">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2">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5344</Words>
  <Characters>6112</Characters>
  <Lines>49</Lines>
  <Paragraphs>14</Paragraphs>
  <TotalTime>18</TotalTime>
  <ScaleCrop>false</ScaleCrop>
  <LinksUpToDate>false</LinksUpToDate>
  <CharactersWithSpaces>6125</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dcterms:modified xsi:type="dcterms:W3CDTF">2024-06-21T11:55:05Z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9790B7A57DCC403DA5F90BBBCA360637_13</vt:lpwstr>
  </property>
</Properties>
</file>