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额敏县额敏河滨河建设服务中心2022年隐性债务化解项目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额敏县额敏河滨河建设服务中心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额敏县额敏河滨河建设服务中心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职责是负责额敏河城区段沿河两岸的工程建筑和景点、管区内各类设施的管理、维护工作，以及绿地的管护工作，保证花草树木的正常生长以及公园内照明等设施的正常运转和完好等。此项目目的是化解滨河建管局这几年在维修工作、绿化景观工作以及基础设施建设等工作中所欠的债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额敏河城区段沿河两岸的工程建筑和景点、管区内各类设施的管理、维护工作，以及绿地的管护工作，保证花草树木的正常生长以及公园内照明等设施的正常运转。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资金投入情况：该项目年初预算数53.00万元，全年预算数53.00万元，实际总投入53.00万元，该项目资金已全部落实到位,资金来源为财政拨款资金。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53.00万元，全年预算数53.00万元，全年执行数53.00万元，预算执行率为100%，用于额敏河城区段沿河两岸的工程建筑和景点、管区内各类设施的管理、维护工作，以及绿地的管护工作，保证花草树木的正常生长以及公园内照明等设施的正常运转。</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额敏县额敏河滨河建设服务中心化债项目财政拨款到位资金53.00万元，用于偿还滨河建管局6个项目的隐性债务共计53.00万元。额敏河城区段沿河两岸的建筑和景点、管区内各类设施的管理、维护工作，以及绿地的管护工作，保证花草树木的正常生长以及公园内照明等设施的正常运转和完好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1、负责现场工程相关信息的获取和业务承揽（联系）；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2、协调施工期间与总包及甲方之间联系；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3、建立各领域中的社会关系，以保持在相关领域中的市场占有，保证各项工作正常运行。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2、绩效评价对象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额敏县额敏河滨河建设服务中心化债项目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额敏县额敏河滨河建设服务中心化债 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额敏县额敏河滨河建设服务中心化债 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3.评价方法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结合项目特点，制定符合项目实际的绩效评价指标体系及评分标准，通过数据采集、问卷调查及访谈等形式，对2022年额敏县额敏河滨河建设服务中心化债项目 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实际到位资金53.00万元，预算资金53.00万元，资金到位率100%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2.预算执行率：年初预算数53.00万元，全年预算数53.00万元，全年执行数53.00万元，预算执行率为100%。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 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4.管理制度健全性：额敏县额敏河滨河建设服务中心 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资金支付，债务化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数量指标：指标1：2022年偿还隐性债务数量，指标值： &lt;=6 笔 ，实际完成值6笔，指标完成率100%，偏差原因：无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质量指标：指标1：还款项目覆盖率，指标值：=100%，实际完成值=100%，指标完成率100 %，偏差原因：无；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时效指标：指标1：资金支付及时率，指标值：100 %，实际完成值100 %，指标完成率 100 %，偏差原因：无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成本指标：指标1：化债成本，指标值：100 %，实际完成值   100 %，指标完成率100%，偏差原因：无；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（1）实施效益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社会效益指标：评价指标“提高政府公信力”，指标值：显著提升，实际完成值：达成年度指标。社会效益是指最大限度地利用有限的资源满足社会上人们日益增长的物质需求。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可持续影响指标：评价指标“持续推进隐性债务化解工作”，指标值：长期，实际完成值：达成年度指标。可持续性发展指标是评价环境经济和社会可持续发展状况、压力及政策响应等全过程指标。</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本项目执行率为100%，指标总体完成率100%，二者之间的偏差指为0。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上级单位要加强对债务的管控，要求各下级单位建立详尽的债务管理台账，对下级各单位的负债情况定期要求其汇总上报，对大额筹资项目加强管控，通过审计委员会、内部审计机构加大监管力度，监督其筹资前的预算分析是否到位，监控其筹资活动的审批流程是否合规、合法，监管其筹资后资金的运用是否脱离预算等，特别是对干即将到期的债务要重点关注，关注其是否且备到期偿付能力。通过全方位的监管避免债务风险的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我们要加强成本意识，改变单位成本管理理念落后的现状，引进精益制造、精细化管理、作业成本、目标成本等管理理念，从制造成本到期间费用全方位的降低成本费用，助力单位发展，企业成本费用的降低，可以为单位挤出利润，让单位有更大的利润空间去应对债务成本负担，也在一定程度上促进了单位债务风险的降低。 打仗还要自身硬，单位经营好坏是关键。面临当前经济下行、消费疲软的现状，我们要采取多种举措提高单位的经营效益，按照政府提出的供给侧改革，提高供给质量、供给效率，改善产品供给，努力开拓市场、扩大销售;不断提升管理水平、向管理要效益:通过不断创新增加企业动力、催生企业活力，努力改变单位借新债还旧债的恶性循环，使企业进入良性发展轨道。另一方面还要优化企业的资产，加大对资产的管控力度，加大对不良存货和应收账款的清理力度，提高资产周转率，提升资产的使用效率，盘活存量资产，加快现金流的收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1.我单位严格按照工作方案，加强经费审批和控制，规范支出标准与范围，未超出预算资金。</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BCD7E4F"/>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2023-02-10T09:29:46Z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C734C92AAAF24344A0E4232D8EB3359B</vt:lpwstr>
  </property>
</Properties>
</file>