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black"/>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black"/>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lang w:val="en-US" w:eastAsia="zh-CN"/>
        </w:rPr>
      </w:pPr>
      <w:r>
        <w:rPr>
          <w:rFonts w:hint="eastAsia" w:ascii="方正小标宋_GBK" w:hAnsi="方正小标宋_GBK" w:eastAsia="方正小标宋_GBK"/>
          <w:sz w:val="44"/>
          <w:szCs w:val="44"/>
          <w:highlight w:val="none"/>
        </w:rPr>
        <w:t>新疆塔城地区额敏县商务和工业信息化局2022年度部门决算公开说明</w:t>
      </w:r>
      <w:r>
        <w:rPr>
          <w:rFonts w:hint="eastAsia" w:ascii="方正小标宋_GBK" w:hAnsi="方正小标宋_GBK" w:eastAsia="方正小标宋_GBK"/>
          <w:sz w:val="44"/>
          <w:szCs w:val="44"/>
          <w:highlight w:val="none"/>
          <w:lang w:val="en-US" w:eastAsia="zh-CN"/>
        </w:rPr>
        <w:t xml:space="preserve"> </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32314"/>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贯彻执行国家、自治区、地区商务和工业信息化法律法规和方针政策，结合实际提出县商务、工业化和信息化发展战略和政策建议；贯彻落实商务、工业化和信息化发展的综合性法规、规章、政策，并进行监督、检查；推进信息化和工业化融合。</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2、拟订商务、工业化和信息化发展规划；贯彻落实国家、自治区、地区产业政策，并进行监督检查；提出产业合理布局和结构调整；编制并组织实施近期经济运行调控目标、政策和措施；提出重点行业的调整方案和重点产品升级提升的方案。</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3、监测分析县商务、工业经济运行态势、调节商贸、工业、经济日常运行，建立商务、工业运行预警制度；协调解决工业经济运行中的重大问题并提出政策建议；协调解决油气运输等重大问题；组织实施现代物流业发展的相关政策措施；负责工业经济运行和产业安全有关工作。</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4、负责商贸和工业信息化领域各行业管理，贯彻落实国家、自治区、地区行业规划、技术规范和标准；贯彻执行国家、自治区、地区行业法规；拟订县行业规划；负责组织拟订煤炭、建材、轻工、农副产品加工、纺织、黄金、盐业、酒类专卖、成品油市场等行业专项规划，并实施行业监督管理。</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5、负责推进国家、自治区、地区关于技术进步及自主创 新政策措施在县域企业的实施，指导技术创新、技术引进、新产品开发，推动技术创新和产学研相结合，推进相关科研成果产业化；负责技术改造投资项目审核、备案。</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6、拟订工业和信息化领域技术创新政策措施；培育和发展战略性新兴产业。</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7、指导工业和信息化领域体制改革和管理创新；贯彻落实国家、自治区促进中小企业发展的相关政策措施，负责对中小企业的宏观指导和服务，指导中小企业改革与发展，建立健全服务体系；负责工业和信息化领域人员的培训；负责组织协调减轻企业负担工作。</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8、拟订工业和信息化领域资源节约和综合利用规划； 指导工业节能减排综合协调和监督管理工作，负责工业节能执法工作；指导工业和信息化领域循环经济发展；协调工业和信息化领域清洁生产和节能环保产业发展工作。</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9、负责民爆行业管理；对民用爆炸物品生产、销售进行监督管理；指导、监督工业领域安全生产工作。</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10、组织执行国家电力行业技术规范和标准；负责权限范围内的电力行政执法、监督；负责制定年度电力行业运行调控目标；组织协调解决电力生产、运营和供应中的重大问题；指导电力调度工作。</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11、负责权限范围内的电力行政执法、监督和行政许可； 组织协调解决电力生产、运营和供应中的重大问题。</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12、组织指导县电子信息产业的发展；组织推进县电子 信息产品制造业、软件业、信息服务业的研发、生产；指导县电子信息产业基地建设及结构调整工作；组织协调县电子信息产业重大专项实施；对县电子信息产品市场进行监督管理。</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13、承担牵头协调整顿和规范市场经济秩序工作的责任。规范市场运行、流通秩序，推动商务领域信用体系建设，指 导商业信用销售。</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14、承担组织实施重要消费品市场调控和重要生产资料 流通管理的责任，负责建立健全生活必需品市场供应应急管理机制，监测分析市场运行、商品供求状况，调查分析商品价格信息，进行预测预警和信息引导；按有关规定对成品油流通环节进行监督管理。</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15、组织实施国家进出口商品、加工贸易管理办法和进 出口管理商品、技术目录，执行国家对外技术贸易、出口管制以及鼓励技术和成套进出口的贸易政策，拟订促进外贸增长方式转变的政策措施。</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16、执行国家对外技术贸易、出口管制以及鼓励技术和 成套设备进出口政策；依法监督技术引进、设备进口、国家限制出口技术的工作。</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17、执行自治区服务贸易发展规划并开展相关工作；负 责组织区内企业参展工作；执行自治区促进服务出口和服务外包的规划、政策并组织实施。</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18、贯彻执行国家有关边境贸易的各项政策并组织实 施。</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19、执行国家反倾销、反补贴、保障措施及其他与进出口公平贸易相关的工作，执行自治区进出口公平贸易及产业损害预警机制。</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20、指导外商投资工作；贯彻执行国家、自治区有关外 商投资政策。</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21、负责对外经济合作工作；执行对外经济合作政策， 指导和监督对外承包工程、劳务合作等业务的管理。</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22、制定电子商务发展规划和措施并组织实施；指导企业信息化及运用电子商务开拓国内外市场；负责建立电子商务行业统计和评价体系，牵头推进电子商务支撑服务体系发展。</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23、执行招商引资方针政策，编制招商引资发展规划和年度计划，负责组织、协调、推进跨地区重大招商引资活动， 联系指导地区各行业及各类开发区的有关招商引资工作； 完善招商引资服务体系。负责招商引资信息的收集、分析、发布等工作；负责招商引资统计工作。</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24、指导商务系统商（协）会的工作；指导和管理贸易投资促进工作。</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25、完成县委、县人民政府交办的其他任务。</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新疆塔城地区额敏县商务和工业信息化局2022年度，实有人数54人，其中：在职人员17人，离休人员1人，退休人员36人。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商务和工业信息化局部门决算包括：新疆塔城地区额敏县商务和工业信息化局决算。单位无下属预算单位，下设4个处室，分别是：办公室、商贸股、工信股、招商股。</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highlight w:val="none"/>
        </w:rPr>
        <w:br w:type="page"/>
      </w:r>
      <w:r>
        <w:rPr>
          <w:rFonts w:hint="default" w:ascii="黑体"/>
          <w:b/>
          <w:spacing w:val="40"/>
          <w:sz w:val="28"/>
          <w:highlight w:val="none"/>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收入总计13,128.05万元</w:t>
      </w:r>
      <w:r>
        <w:rPr>
          <w:rFonts w:hint="eastAsia" w:ascii="仿宋_GB2312" w:eastAsia="仿宋_GB2312"/>
          <w:sz w:val="32"/>
          <w:szCs w:val="32"/>
          <w:highlight w:val="none"/>
          <w:lang w:eastAsia="zh-CN"/>
        </w:rPr>
        <w:t>，其中：本年收入合计13,128.05万元，使用非财政拨款结余0.00万元，年初结转和结余0.00万元。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增加10,332.52万元，增长369.61%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一是我单位本年补发了历年绩效工资；二是在职人员基本工资普调；三是退休人员中有死亡一人，补发了丧葬费及抚恤金；四是年中追加额敏县综合物流园道路工程、额敏县综合物流园综合服务用房建设项目万元、塔城重点开发开放试验区额敏分区现代农牧业示范区综合物流园建设项目、援疆项目等收入</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本年支出总计13,128.05万元</w:t>
      </w:r>
      <w:r>
        <w:rPr>
          <w:rFonts w:hint="eastAsia" w:ascii="仿宋_GB2312" w:eastAsia="仿宋_GB2312"/>
          <w:sz w:val="32"/>
          <w:szCs w:val="32"/>
          <w:highlight w:val="none"/>
          <w:lang w:eastAsia="zh-CN"/>
        </w:rPr>
        <w:t>，其中：本年支出合计13,128.05万元，结余分配0.00万元，年末结转和结余0.00万元。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，增加10,332.52万元，增长369.61%，主要原因是</w:t>
      </w:r>
      <w:r>
        <w:rPr>
          <w:rFonts w:hint="eastAsia" w:ascii="仿宋_GB2312" w:eastAsia="仿宋_GB2312"/>
          <w:sz w:val="32"/>
          <w:szCs w:val="32"/>
          <w:highlight w:val="none"/>
        </w:rPr>
        <w:t>：一是我单位本年补发了历年绩效工资；二是在职人员基本工资普调；三是退休人员中有死亡一人，补发了丧葬费及抚恤金；四是年中追加额敏县综合物流园道路工程、额敏县综合物流园综合服务用房建设项目万元、塔城重点开发开放试验区额敏分区现代农牧业示范区综合物流园建设项目、援疆项目等支出</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979"/>
      <w:bookmarkStart w:id="11" w:name="_Toc12142"/>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13,128.05万元，其中：财政拨款收入11,889.54万元，占90.57%；上级补助收入0.00万元，占0.00%；事业收入0.00万元，占0.00%；经营收入0.00万元，占0.00%；附属单位上缴收入0.00万元，占0.00%；其他收入1,238.51万元，占9.43%。</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本年支出13,128.05万元，其中：基本支出332.69万元，占2.53%；项目支出12,795.36万元，占97.47%；上缴上级支出0.00万元，占0.00%；经营支出0.00万元，占0.00%；对附属单位补助支出0.00万元，占0.00%。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4393"/>
      <w:bookmarkStart w:id="15" w:name="_Toc26564"/>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财政拨款收入总计11,889.54万元，其中：年初财政拨款结转和结余0.00万元，财政拨款本年收入11,889.54万元。财政拨款收入总计与上年相比，增加9,094.01万元，增长325.31%，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一是我单位本年补发了历年绩效工资；二是在职人员基本工资普调；三是退休人员中有死亡一人，补发了丧葬费及抚恤金；四是年中追加额敏县综合物流园道路工程、额敏县综合物流园综合服务用房建设项目万元、塔城重点开发开放试验区额敏分区现代农牧业示范区综合物流园建设项目、援疆项目等收入</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财政拨款支出总计11,889.54万元，其中：年末财政拨款结转和结余0.00万元，财政拨款本年支出11,889.54万元。财政拨款支出总计与上年相比，增加9,094.01万元，增长325.31%，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一是我单位本年补发了历年绩效工资；二是在职人员基本工资普调；三是退休人员中有死亡一人，补发了丧葬费及抚恤金；四是年中追加额敏县综合物流园道路工程、额敏县综合物流园综合服务用房建设项目万元、塔城重点开发开放试验区额敏分区现代农牧业示范区综合物流园建设项目、援疆项目等支出</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与年初预算数相比情况：财政拨款收入总计年初预算数255.93万元，决算数11,889.54万元，预决算差异率4,545.62%，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一是我单位本年补发了历年绩效工资；二是在职人员基本工资普调；三是退休人员中有死亡一人，补发了丧葬费及抚恤金；四是年中追加额敏县综合物流园道路工程、额敏县综合物流园综合服务用房建设项目万元、塔城重点开发开放试验区额敏分区现代农牧业示范区综合物流园建设项目、援疆项目等收入</w:t>
      </w:r>
      <w:r>
        <w:rPr>
          <w:rFonts w:hint="eastAsia" w:ascii="仿宋_GB2312" w:eastAsia="仿宋_GB2312"/>
          <w:sz w:val="32"/>
          <w:szCs w:val="32"/>
          <w:highlight w:val="none"/>
          <w:lang w:eastAsia="zh-CN"/>
        </w:rPr>
        <w:t>增加，故</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。财政拨款支出总计年初预算数255.93万元，决算数11,889.54万元，预决算差异率4,545.62%，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一是我单位本年补发了历年绩效工资；二是在职人员基本工资普调；三是退休人员中有死亡一人，补发了丧葬费及抚恤金；四是年中追加额敏县综合物流园道路工程、额敏县综合物流园综合服务用房建设项目万元、塔城重点开发开放试验区额敏分区现代农牧业示范区综合物流园建设项目、援疆项目等支出</w:t>
      </w:r>
      <w:r>
        <w:rPr>
          <w:rFonts w:hint="eastAsia" w:ascii="仿宋_GB2312" w:eastAsia="仿宋_GB2312"/>
          <w:sz w:val="32"/>
          <w:szCs w:val="32"/>
          <w:highlight w:val="none"/>
          <w:lang w:eastAsia="zh-CN"/>
        </w:rPr>
        <w:t>增加，故</w:t>
      </w:r>
      <w:r>
        <w:rPr>
          <w:rFonts w:hint="eastAsia" w:ascii="仿宋_GB2312" w:eastAsia="仿宋_GB2312"/>
          <w:sz w:val="32"/>
          <w:szCs w:val="32"/>
          <w:highlight w:val="none"/>
        </w:rPr>
        <w:t>预决算</w:t>
      </w:r>
      <w:r>
        <w:rPr>
          <w:rFonts w:hint="eastAsia" w:ascii="仿宋_GB2312" w:eastAsia="仿宋_GB2312"/>
          <w:sz w:val="32"/>
          <w:szCs w:val="32"/>
          <w:highlight w:val="none"/>
          <w:lang w:eastAsia="zh-CN"/>
        </w:rPr>
        <w:t>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13833"/>
      <w:bookmarkStart w:id="17" w:name="_Toc20360"/>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一般公共预算财政拨款支出2,679.53万元，占本年支出合计的2</w:t>
      </w:r>
      <w:r>
        <w:rPr>
          <w:rFonts w:hint="eastAsia" w:ascii="仿宋_GB2312" w:eastAsia="仿宋_GB2312"/>
          <w:sz w:val="32"/>
          <w:szCs w:val="32"/>
          <w:highlight w:val="none"/>
          <w:lang w:val="en-US" w:eastAsia="zh-CN"/>
        </w:rPr>
        <w:t>0.41</w:t>
      </w:r>
      <w:r>
        <w:rPr>
          <w:rFonts w:hint="eastAsia" w:ascii="仿宋_GB2312" w:eastAsia="仿宋_GB2312"/>
          <w:sz w:val="32"/>
          <w:szCs w:val="32"/>
          <w:highlight w:val="none"/>
        </w:rPr>
        <w:t>%，与上年相比，减少81.95万元，下降2.97%，主要原因是：我单位本年减少乡村振兴项目支出。</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1.一般公共服务支出（类）2,228.00万元，占83.15%。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2.社会保障和就业支出（类）98.19万元，占3.66%。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3.卫生健康支出（类）14.04万元，占0.52%。</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4.节能环保支出（类）20.00万元，占0.75%。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5.农林水支出（类）14.95万元，占0.56%。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6.资源勘探信息等支出（类）74.31万元，占2.77%。</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7.商业服务业等支出（类）210.78万元，占7.87%。</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8.住房保障支出（类）19.25万元，占0.72%。</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一般公共服务支出（类）商贸事务（款）行政运行（项）：支出决算数为201.22万元，比上年决算增加55.06万元，增长37.67%，主要原因是：一是本年发放2021年全年绩效及2021年10至12月补发工资，二是在职人员基本工资普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2.一般公共服务支出（类）商贸事务（款）招商引资（项）：支出决算数为24.54万元，比上年决算增加7.14万元，增长41.03%，主要原因是：我单位年中追加招商引资项目专项业务经费支出。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3.一般公共服务支出（类）商贸事务（款）其他商贸事务支出（项）：支出决算数为2,000.00万元，比上年决算增加1,978.19万元，增长9,070.11%，主要原因是：本年新增额敏县综合物流园道路工程、额敏县综合物流园综合服务用房建设项目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4.一般公共服务支出（类）组织事务（款）其他组织事务支出（项）：支出决算数为2.25万元，比上年决算增加2.25万元，增长100%，主要原因是：本年增加访惠聚为民办实事经费支出。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5.社会保障和就业支出（类）行政事业单位养老支出（款）行政单位离退休（项）：支出决算数为76.16万元，比上年决算增加3.62万元，增长4.99%，主要原因是：本年退休有1人死亡，追加了丧葬费及抚恤金。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社会保障和就业支出（类）行政事业单位养老支出（款）机关事业单位基本养老保险缴费支出（项）：支出决算数为22.03万元，比上年决算增加4.12万元，增长23.00%，主要原因是：一是本年基本工资调资，二是2021年12月调入2人，机关事业单位基本养老保险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7.卫生健康支出（类）行政事业单位医疗（款）行政单位医疗（项）：支出决算数为10.93万元，比上年决算增加0.82万元，增长8.00%，主要原因是：一是本年基本工资调资，二是2021年12月调入2人，行政单位医疗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8.卫生健康支出（类）行政事业单位医疗（款）公务员医疗补助（项）：支出决算数为3.10万元，比上年决算增加0.98万元，增长45.54%，主要原因是：一是本年基本工资调资，二是2021年12月调入2人，公务员医疗补助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9.节能环保支出（类）能源节约利用（款）能源节约利用（项）：支出决算数为20.00万元，比上年决算减少10.00万元，下降33.33%，主要原因是：本年工业节能技术改造项目支出减少。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10.农林水支出（类）巩固脱贫衔接乡村振兴（款）生产发展（项）：支出决算数为14.95万元，比上年决算减少1,559.89万元，下降99.05%，主要原因是：本年高端休闲肉制品食品生产线建设项目支出减少。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11.资源勘探信息等支出（类）制造业（款）纺织业（项）：支出决算数为53.31万元，比上年决算增加47.97万元，增长898.31%，主要原因是：本年纺织服装资金包含2021年1-12月及2022年1-3月新疆籍职工社保支出增加。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12.资源勘探信息等支出（类）支持中小企业发展和管理支出（款）中小企业发展专项（项）：支出决算数为6.00万元，比上年决算增加6.00万元，增长100%，主要原因是：本年增加自治区中小企业发展专项资金支出。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13.资源勘探信息等支出（类）其他资源勘探信息等支出（款）其他资源勘探信息等支出（项）：支出决算数为15.00万元，比上年决算增加15.00万元，增长100%，主要原因是：本年增加小升规奖励资金支出。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14.商业服务业等支出（类）其他商业服务业等支出（款）其他商业服务业等支出（项）：支出决算数为210.78万元，比上年决算增加132.78万元，增长170.23%，主要原因是：本年增加2021年服务业发展（农产品供应链体系建设）资金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15.住房保障支出（类）住房改革支出（款）住房公积金（项）：支出决算数为19.25万元，比上年决算增加6.48万元，增长50.74%，主要原因是：人员工资调增公积金缴费基数调增，2021年12月调入2人，住房公积金缴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16.资源勘探信息等支出（类）支持中小企业发展和管理支出（款）其他支出中小企业发展和管理支出（项）：支出决算数为0万元，比上年决算减少760.75万元，减少100%，主要原因是：本年未实施其他中小企业发展和管理项目。</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17.资源勘探信息等支出（类）其他资源勘探工业信息等支出（款）重点产业振兴和技术改造项目贷款贴息（项）：支出决算数为0万元，比上年决算减少11.73万元，减少100%，主要原因是：我单位重点产业振兴和技术改造项目上年已完成，本年未开展此类项目。</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30870"/>
      <w:bookmarkStart w:id="19" w:name="_Toc11146"/>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2022年度一般公共预算财政拨款基本支出332.69万元，其中：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328.34万元，包括：基本工资、津贴补贴、奖金、机关事业单位基本养老保险缴费、职工基本医疗保险缴费、公务员医疗补助缴费、其他社会保障缴费、住房公积金、离休费、退休费、抚恤金、医疗费补助、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公用经费4.36万元，包括：办公费、邮电费、差旅费、劳务费、工会经费。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0.66万元，比上年减少2.70万元，下降80.36%，主要原因是：我单位落实厉行节约政策，只减不增，严格控制客商接待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0.66万元，占100.00%，比上年减少2.70万元，下降80.36%，主要原因是：我单位落实厉行节约政策，只减不增，严格控制客商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公务接待费0.66万元，开支内容包括我单位此项费为招商引资项目支出，是客商接待费。单位全年安排的国内公务接待5批次，100人次。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与全年预算数相比情况：“三公”经费支出全年预算数0.66万元，决算数0.66万元，预决算差异率0.00%，主要原因是：我单位严格按照预算执行，预决算无差异。</w:t>
      </w:r>
      <w:r>
        <w:rPr>
          <w:rFonts w:hint="eastAsia" w:ascii="仿宋_GB2312" w:eastAsia="仿宋_GB2312"/>
          <w:sz w:val="32"/>
          <w:szCs w:val="32"/>
          <w:highlight w:val="none"/>
          <w:lang w:eastAsia="zh-CN"/>
        </w:rPr>
        <w:t>其中：因公出国（境）费全年预算数0.00万元，决算数0.00万元，预决算差异率0.00%，主要原因是：我单位严格按照预算执行，预决算无差异；</w:t>
      </w:r>
      <w:r>
        <w:rPr>
          <w:rFonts w:hint="eastAsia" w:ascii="仿宋_GB2312" w:eastAsia="仿宋_GB2312"/>
          <w:sz w:val="32"/>
          <w:szCs w:val="32"/>
          <w:highlight w:val="none"/>
        </w:rPr>
        <w:t>公务用车购置费全年预算数0.00万元，决算数0.00万元，预决算差异率0.00%，主要原因是：我单位严格按照预算执行，预决算无差异；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公务用车运行费全年预算数0.00万元，决算数0.00万元，预决算差异率0.00%，主要原因是：我单位严格按照预算执行，预决算无差异；</w:t>
      </w:r>
      <w:r>
        <w:rPr>
          <w:rFonts w:hint="eastAsia" w:ascii="仿宋_GB2312" w:eastAsia="仿宋_GB2312"/>
          <w:sz w:val="32"/>
          <w:szCs w:val="32"/>
          <w:highlight w:val="none"/>
        </w:rPr>
        <w:t>公务接待费全年预算数0.66万元，决算数0.66万元，预决算差异率0.00%，主要原因是：我单位严格按照预算执行，预决算无差异。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性基金预算年初结转和结余0.00万元，财政拨款收入9,210.02万元，与上年相比，增加9,175.97万元，增长26,948.52%。主要原因是：我单位本年增加塔城重点开发开放试验区额敏分区现代农牧业示范区综合物流园建设项目收入。政府性基金预算年末结转结余0.00万元，财政拨款支出9,210.02万元，与上年相比，增加9,175.97万元，增长26,948.52%。主要原因是：我单位本年增加塔城重点开发开放试验区额敏分区现代农牧业示范区综合物流园建设项目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政府性基金预算财政拨款支出9,210.02万元。</w:t>
      </w:r>
      <w:r>
        <w:rPr>
          <w:rFonts w:hint="eastAsia" w:ascii="仿宋_GB2312" w:eastAsia="仿宋_GB2312"/>
          <w:sz w:val="32"/>
          <w:szCs w:val="32"/>
          <w:highlight w:val="none"/>
        </w:rPr>
        <w:t>按功能分类科目</w:t>
      </w:r>
      <w:r>
        <w:rPr>
          <w:rFonts w:hint="eastAsia" w:ascii="仿宋_GB2312" w:eastAsia="仿宋_GB2312"/>
          <w:sz w:val="32"/>
          <w:szCs w:val="32"/>
          <w:highlight w:val="none"/>
          <w:lang w:eastAsia="zh-CN"/>
        </w:rPr>
        <w:t>项</w:t>
      </w:r>
      <w:r>
        <w:rPr>
          <w:rFonts w:hint="eastAsia" w:ascii="仿宋_GB2312" w:eastAsia="仿宋_GB2312"/>
          <w:sz w:val="32"/>
          <w:szCs w:val="32"/>
          <w:highlight w:val="none"/>
        </w:rPr>
        <w:t>级科目公开</w:t>
      </w:r>
      <w:r>
        <w:rPr>
          <w:rFonts w:hint="eastAsia" w:ascii="仿宋_GB2312" w:eastAsia="仿宋_GB2312"/>
          <w:sz w:val="32"/>
          <w:szCs w:val="32"/>
          <w:highlight w:val="none"/>
          <w:lang w:eastAsia="zh-CN"/>
        </w:rPr>
        <w:t>，其中：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2120809支付破产或改制企业职工安置费2.24万元；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2120899其他国有土地使用权出让收入安排的支出296.05万元；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2290402其他地方自行试点项目收益专项债券收入安排的支出8,911.73万元。</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1235"/>
      <w:bookmarkStart w:id="25" w:name="_Toc7314"/>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商务和工业信息化局（行政单位和参照公务员法管理事业单位）机关运行经费支出4.36万元，比上年减少0.13万元，下降2.90%，主要原因是：我单位落实厉行节约政策，只减不增，严格控制办公用品等耗材支出。</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2022年度政府采购支出总额9.01万元，其中：政府采购货物支出6.21万元、政府采购工程支出0.00万元、政府采购服务支出2.80万元。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9.01</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9.01</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12.12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11283"/>
      <w:bookmarkStart w:id="33" w:name="_Toc435"/>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w:t>
      </w:r>
      <w:r>
        <w:rPr>
          <w:rFonts w:hint="eastAsia" w:ascii="仿宋_GB2312" w:eastAsia="仿宋_GB2312"/>
          <w:sz w:val="32"/>
          <w:szCs w:val="32"/>
          <w:highlight w:val="none"/>
          <w:lang w:val="en-US" w:eastAsia="zh-CN"/>
        </w:rPr>
        <w:t>17</w:t>
      </w:r>
      <w:r>
        <w:rPr>
          <w:rFonts w:hint="eastAsia" w:ascii="仿宋_GB2312" w:eastAsia="仿宋_GB2312"/>
          <w:sz w:val="32"/>
          <w:szCs w:val="32"/>
          <w:highlight w:val="none"/>
          <w:lang w:eastAsia="zh-CN"/>
        </w:rPr>
        <w:t>个，全年预算数13,830.3万元，全年执行数12,7</w:t>
      </w:r>
      <w:r>
        <w:rPr>
          <w:rFonts w:hint="eastAsia" w:ascii="仿宋_GB2312" w:eastAsia="仿宋_GB2312"/>
          <w:sz w:val="32"/>
          <w:szCs w:val="32"/>
          <w:highlight w:val="none"/>
          <w:lang w:val="en-US" w:eastAsia="zh-CN"/>
        </w:rPr>
        <w:t>42.03</w:t>
      </w:r>
      <w:bookmarkStart w:id="54" w:name="_GoBack"/>
      <w:bookmarkEnd w:id="54"/>
      <w:r>
        <w:rPr>
          <w:rFonts w:hint="eastAsia" w:ascii="仿宋_GB2312" w:eastAsia="仿宋_GB2312"/>
          <w:sz w:val="32"/>
          <w:szCs w:val="32"/>
          <w:highlight w:val="none"/>
          <w:lang w:eastAsia="zh-CN"/>
        </w:rPr>
        <w:t>万元。预算绩效管理取得的成效：一是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二是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发现的问题及原因：一是对绩效目标的设定不够细化和准确，部分项目设置的绩效指标与项目实际脱节，导致监控时无法达到预期目标值；二是绩效填报工作主要是财务人员负责，项目实施部门未积极参与项目绩效管理工作中来，导致交接不到位，部分项目未及时进行调整。下一步改进措施：一是推行政府机关绩效管理制度是深入贯彻落实科学发展观、加快转变经济发展方式的必然要求，是提高政府执行力和公信力的重要举措。近年来，我单位高度重视绩效工作，力求全面客观评价工作绩效情况，搞明白花多少钱，怎么花的，取得了哪些效果，钱花得值不值。下一步，我单位将继续加大工作力度，在探索中总结提升，在实践中规范完善，加强绩效管理；二是加强项目开展进度的跟踪，开展项目绩效评价，确保项目绩效目标的完成。采取得力措施，降低行政运行成本，提高资金使用绩效，真正做到依法理财、科学理财。具体项目自评情况附项目支出绩效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24143"/>
      <w:bookmarkStart w:id="35" w:name="_Toc3250"/>
      <w:r>
        <w:rPr>
          <w:rFonts w:hint="default" w:ascii="黑体"/>
          <w:b/>
          <w:kern w:val="44"/>
          <w:sz w:val="28"/>
          <w:highlight w:val="none"/>
        </w:rPr>
        <w:br w:type="page"/>
      </w:r>
      <w:r>
        <w:rPr>
          <w:rFonts w:hint="default" w:ascii="黑体"/>
          <w:b/>
          <w:spacing w:val="40"/>
          <w:sz w:val="28"/>
          <w:highlight w:val="none"/>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highlight w:val="none"/>
        </w:rPr>
        <w:br w:type="page"/>
      </w:r>
      <w:r>
        <w:rPr>
          <w:rFonts w:hint="default" w:ascii="黑体"/>
          <w:b/>
          <w:spacing w:val="40"/>
          <w:sz w:val="28"/>
          <w:highlight w:val="none"/>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6062"/>
      <w:bookmarkStart w:id="39" w:name="_Toc2183"/>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21304"/>
      <w:bookmarkStart w:id="43" w:name="_Toc3243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4869"/>
      <w:bookmarkStart w:id="47" w:name="_Toc10347"/>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29106"/>
      <w:bookmarkStart w:id="51" w:name="_Toc32663"/>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1F4178BA"/>
    <w:rsid w:val="2E7A3619"/>
    <w:rsid w:val="507015EC"/>
    <w:rsid w:val="79DB01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24</Pages>
  <Words>9711</Words>
  <Characters>10772</Characters>
  <Lines>0</Lines>
  <Paragraphs>0</Paragraphs>
  <TotalTime>28</TotalTime>
  <ScaleCrop>false</ScaleCrop>
  <LinksUpToDate>false</LinksUpToDate>
  <CharactersWithSpaces>10799</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2024-06-20T12:22:45Z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FC1510D3EE30448CB35C8BB6DA89961B</vt:lpwstr>
  </property>
</Properties>
</file>