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8CF27">
      <w:pPr>
        <w:spacing w:line="480" w:lineRule="auto"/>
        <w:ind w:firstLine="0" w:firstLineChars="0"/>
        <w:rPr>
          <w:rFonts w:hint="eastAsia" w:ascii="Times New Roman" w:hAnsi="Times New Roman" w:eastAsia="黑体" w:cs="Times New Roman"/>
          <w:b/>
          <w:kern w:val="0"/>
          <w:sz w:val="50"/>
          <w:szCs w:val="50"/>
          <w:lang w:bidi="en-US"/>
        </w:rPr>
      </w:pPr>
    </w:p>
    <w:p w14:paraId="755C5292">
      <w:pPr>
        <w:spacing w:line="480" w:lineRule="auto"/>
        <w:ind w:firstLine="0" w:firstLineChars="0"/>
        <w:rPr>
          <w:rFonts w:ascii="Times New Roman" w:hAnsi="Times New Roman" w:eastAsia="黑体" w:cs="Times New Roman"/>
          <w:b/>
          <w:kern w:val="0"/>
          <w:sz w:val="50"/>
          <w:szCs w:val="50"/>
          <w:lang w:bidi="en-US"/>
        </w:rPr>
      </w:pPr>
    </w:p>
    <w:p w14:paraId="067C952B">
      <w:pPr>
        <w:spacing w:line="480" w:lineRule="auto"/>
        <w:ind w:firstLine="0" w:firstLineChars="0"/>
        <w:rPr>
          <w:rFonts w:hint="eastAsia" w:ascii="Times New Roman" w:hAnsi="Times New Roman" w:eastAsia="黑体" w:cs="Times New Roman"/>
          <w:b/>
          <w:kern w:val="0"/>
          <w:sz w:val="50"/>
          <w:szCs w:val="50"/>
          <w:lang w:bidi="en-US"/>
        </w:rPr>
      </w:pPr>
    </w:p>
    <w:p w14:paraId="1EAB2B93">
      <w:pPr>
        <w:spacing w:line="480" w:lineRule="auto"/>
        <w:ind w:firstLine="0" w:firstLineChars="0"/>
        <w:rPr>
          <w:rFonts w:ascii="Times New Roman" w:hAnsi="Times New Roman" w:eastAsia="黑体" w:cs="Times New Roman"/>
          <w:b/>
          <w:kern w:val="0"/>
          <w:sz w:val="50"/>
          <w:szCs w:val="50"/>
          <w:lang w:bidi="en-US"/>
        </w:rPr>
      </w:pPr>
    </w:p>
    <w:p w14:paraId="384187F6">
      <w:pPr>
        <w:spacing w:line="480" w:lineRule="auto"/>
        <w:ind w:firstLine="0" w:firstLineChars="0"/>
        <w:jc w:val="center"/>
        <w:rPr>
          <w:rFonts w:ascii="Times New Roman" w:hAnsi="Times New Roman" w:eastAsia="黑体" w:cs="Times New Roman"/>
          <w:b/>
          <w:kern w:val="0"/>
          <w:sz w:val="50"/>
          <w:szCs w:val="50"/>
          <w:lang w:bidi="en-US"/>
        </w:rPr>
      </w:pPr>
    </w:p>
    <w:p w14:paraId="1F38D2A7">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项目支出绩效评价报告</w:t>
      </w:r>
    </w:p>
    <w:p w14:paraId="3F45D114">
      <w:pPr>
        <w:spacing w:before="120" w:after="120" w:line="480" w:lineRule="auto"/>
        <w:ind w:firstLine="0" w:firstLineChars="0"/>
        <w:jc w:val="center"/>
        <w:rPr>
          <w:rFonts w:hint="eastAsia" w:ascii="仿宋_GB2312" w:hAnsi="Arial"/>
          <w:b/>
          <w:sz w:val="44"/>
          <w:szCs w:val="44"/>
        </w:rPr>
      </w:pPr>
      <w:r>
        <w:rPr>
          <w:rFonts w:hint="eastAsia" w:ascii="仿宋_GB2312" w:hAnsi="Arial"/>
          <w:b/>
          <w:sz w:val="44"/>
          <w:szCs w:val="44"/>
        </w:rPr>
        <w:t>（202</w:t>
      </w:r>
      <w:r>
        <w:rPr>
          <w:rFonts w:ascii="仿宋_GB2312" w:hAnsi="Arial"/>
          <w:b/>
          <w:sz w:val="44"/>
          <w:szCs w:val="44"/>
        </w:rPr>
        <w:t>2</w:t>
      </w:r>
      <w:r>
        <w:rPr>
          <w:rFonts w:hint="eastAsia" w:ascii="仿宋_GB2312" w:hAnsi="Arial"/>
          <w:b/>
          <w:sz w:val="44"/>
          <w:szCs w:val="44"/>
        </w:rPr>
        <w:t>年度）</w:t>
      </w:r>
    </w:p>
    <w:p w14:paraId="15595D8A">
      <w:pPr>
        <w:spacing w:line="480" w:lineRule="auto"/>
        <w:ind w:firstLine="0" w:firstLineChars="0"/>
        <w:jc w:val="center"/>
        <w:rPr>
          <w:rFonts w:ascii="Times New Roman" w:hAnsi="Times New Roman" w:eastAsia="黑体" w:cs="Times New Roman"/>
          <w:b/>
          <w:kern w:val="0"/>
          <w:sz w:val="50"/>
          <w:szCs w:val="50"/>
          <w:lang w:bidi="en-US"/>
        </w:rPr>
      </w:pPr>
    </w:p>
    <w:p w14:paraId="17C7CC0D">
      <w:pPr>
        <w:spacing w:line="480" w:lineRule="auto"/>
        <w:ind w:firstLine="0" w:firstLineChars="0"/>
        <w:jc w:val="center"/>
        <w:rPr>
          <w:rFonts w:ascii="Times New Roman" w:hAnsi="Times New Roman" w:eastAsia="黑体" w:cs="Times New Roman"/>
          <w:b/>
          <w:kern w:val="0"/>
          <w:sz w:val="50"/>
          <w:szCs w:val="50"/>
          <w:lang w:bidi="en-US"/>
        </w:rPr>
      </w:pPr>
    </w:p>
    <w:p w14:paraId="74F2B22C">
      <w:pPr>
        <w:spacing w:line="480" w:lineRule="auto"/>
        <w:ind w:firstLine="0" w:firstLineChars="0"/>
        <w:jc w:val="center"/>
        <w:rPr>
          <w:rFonts w:ascii="Times New Roman" w:hAnsi="Times New Roman" w:eastAsia="黑体" w:cs="Times New Roman"/>
          <w:b/>
          <w:kern w:val="0"/>
          <w:sz w:val="50"/>
          <w:szCs w:val="50"/>
          <w:lang w:bidi="en-US"/>
        </w:rPr>
      </w:pPr>
    </w:p>
    <w:p w14:paraId="31CABADE">
      <w:pPr>
        <w:spacing w:line="480" w:lineRule="auto"/>
        <w:ind w:firstLine="0" w:firstLineChars="0"/>
        <w:jc w:val="center"/>
        <w:rPr>
          <w:rFonts w:ascii="Times New Roman" w:hAnsi="Times New Roman" w:eastAsia="黑体" w:cs="Times New Roman"/>
          <w:b/>
          <w:kern w:val="0"/>
          <w:sz w:val="50"/>
          <w:szCs w:val="50"/>
          <w:lang w:bidi="en-US"/>
        </w:rPr>
      </w:pPr>
    </w:p>
    <w:p w14:paraId="118FF3E9">
      <w:pPr>
        <w:spacing w:line="480" w:lineRule="auto"/>
        <w:ind w:firstLine="0" w:firstLineChars="0"/>
        <w:jc w:val="center"/>
        <w:rPr>
          <w:rFonts w:hint="eastAsia" w:ascii="Times New Roman" w:hAnsi="Times New Roman" w:eastAsia="黑体" w:cs="Times New Roman"/>
          <w:b/>
          <w:kern w:val="0"/>
          <w:sz w:val="50"/>
          <w:szCs w:val="50"/>
          <w:lang w:bidi="en-US"/>
        </w:rPr>
      </w:pPr>
    </w:p>
    <w:p w14:paraId="370CA94B">
      <w:pPr>
        <w:spacing w:line="480" w:lineRule="auto"/>
        <w:ind w:firstLine="0" w:firstLineChars="0"/>
        <w:jc w:val="center"/>
        <w:rPr>
          <w:rFonts w:ascii="Times New Roman" w:hAnsi="Times New Roman" w:eastAsia="黑体" w:cs="Times New Roman"/>
          <w:b/>
          <w:kern w:val="0"/>
          <w:sz w:val="50"/>
          <w:szCs w:val="50"/>
          <w:lang w:bidi="en-US"/>
        </w:rPr>
      </w:pPr>
    </w:p>
    <w:p w14:paraId="589AEC16">
      <w:pPr>
        <w:spacing w:line="480" w:lineRule="auto"/>
        <w:ind w:firstLine="0" w:firstLineChars="0"/>
        <w:jc w:val="center"/>
        <w:rPr>
          <w:rFonts w:ascii="仿宋_GB2312" w:hAnsi="Times New Roman" w:cs="Times New Roman"/>
          <w:kern w:val="0"/>
          <w:sz w:val="30"/>
          <w:szCs w:val="30"/>
          <w:lang w:bidi="en-US"/>
        </w:rPr>
      </w:pPr>
    </w:p>
    <w:p w14:paraId="5FA7F332">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w:t>
      </w:r>
      <w:r>
        <w:rPr>
          <w:rFonts w:hint="eastAsia" w:ascii="仿宋_GB2312" w:hAnsi="宋体" w:eastAsia="仿宋_GB2312" w:cs="宋体"/>
          <w:kern w:val="0"/>
          <w:sz w:val="32"/>
          <w:szCs w:val="32"/>
        </w:rPr>
        <w:t>额敏县热力站建设及管网铺设工程项目</w:t>
      </w:r>
      <w:r>
        <w:rPr>
          <w:rFonts w:ascii="仿宋_GB2312" w:hAnsi="Times New Roman" w:cs="Times New Roman"/>
          <w:kern w:val="0"/>
          <w:sz w:val="32"/>
          <w:szCs w:val="32"/>
          <w:lang w:bidi="en-US"/>
        </w:rPr>
        <w:t xml:space="preserve"> </w:t>
      </w:r>
    </w:p>
    <w:p w14:paraId="5B2E2E5C">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实施单位（公章）：</w:t>
      </w:r>
      <w:r>
        <w:rPr>
          <w:rFonts w:hint="eastAsia" w:ascii="仿宋_GB2312" w:hAnsi="宋体" w:eastAsia="仿宋_GB2312" w:cs="宋体"/>
          <w:kern w:val="0"/>
          <w:sz w:val="32"/>
          <w:szCs w:val="32"/>
        </w:rPr>
        <w:t>额敏县住房和城乡建设局</w:t>
      </w:r>
    </w:p>
    <w:p w14:paraId="19FDFAA5">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主管部门（公章）：</w:t>
      </w:r>
      <w:r>
        <w:rPr>
          <w:rFonts w:ascii="仿宋_GB2312" w:hAnsi="Times New Roman" w:cs="Times New Roman"/>
          <w:kern w:val="0"/>
          <w:sz w:val="32"/>
          <w:szCs w:val="32"/>
          <w:lang w:bidi="en-US"/>
        </w:rPr>
        <w:t xml:space="preserve"> </w:t>
      </w:r>
    </w:p>
    <w:p w14:paraId="0CC2194F">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项目负责人（签章）：</w:t>
      </w:r>
      <w:r>
        <w:rPr>
          <w:rFonts w:ascii="仿宋_GB2312" w:hAnsi="Times New Roman" w:cs="Times New Roman"/>
          <w:kern w:val="0"/>
          <w:sz w:val="32"/>
          <w:szCs w:val="32"/>
          <w:lang w:bidi="en-US"/>
        </w:rPr>
        <w:t xml:space="preserve"> </w:t>
      </w:r>
    </w:p>
    <w:p w14:paraId="480871C4">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填报时间：202</w:t>
      </w:r>
      <w:r>
        <w:rPr>
          <w:rFonts w:ascii="仿宋_GB2312" w:hAnsi="Times New Roman" w:cs="Times New Roman"/>
          <w:kern w:val="0"/>
          <w:sz w:val="32"/>
          <w:szCs w:val="32"/>
          <w:lang w:bidi="en-US"/>
        </w:rPr>
        <w:t>3</w:t>
      </w:r>
      <w:r>
        <w:rPr>
          <w:rFonts w:hint="eastAsia" w:ascii="仿宋_GB2312" w:hAnsi="Times New Roman" w:cs="Times New Roman"/>
          <w:kern w:val="0"/>
          <w:sz w:val="32"/>
          <w:szCs w:val="32"/>
          <w:lang w:bidi="en-US"/>
        </w:rPr>
        <w:t>年</w:t>
      </w:r>
      <w:r>
        <w:rPr>
          <w:rFonts w:ascii="仿宋_GB2312" w:hAnsi="Times New Roman" w:cs="Times New Roman"/>
          <w:kern w:val="0"/>
          <w:sz w:val="32"/>
          <w:szCs w:val="32"/>
          <w:lang w:bidi="en-US"/>
        </w:rPr>
        <w:t>2</w:t>
      </w:r>
      <w:r>
        <w:rPr>
          <w:rFonts w:hint="eastAsia" w:ascii="仿宋_GB2312" w:hAnsi="Times New Roman" w:cs="Times New Roman"/>
          <w:kern w:val="0"/>
          <w:sz w:val="32"/>
          <w:szCs w:val="32"/>
          <w:lang w:bidi="en-US"/>
        </w:rPr>
        <w:t>月</w:t>
      </w:r>
    </w:p>
    <w:p w14:paraId="7A5D8C9F">
      <w:pPr>
        <w:ind w:firstLine="640"/>
        <w:rPr>
          <w:rFonts w:ascii="仿宋_GB2312" w:hAnsi="Times New Roman" w:cs="Times New Roman"/>
          <w:kern w:val="0"/>
          <w:sz w:val="32"/>
          <w:szCs w:val="32"/>
          <w:lang w:bidi="en-US"/>
        </w:rPr>
      </w:pPr>
    </w:p>
    <w:p w14:paraId="67330AED">
      <w:pPr>
        <w:ind w:firstLine="640"/>
        <w:rPr>
          <w:rFonts w:ascii="仿宋_GB2312" w:hAnsi="Times New Roman"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14:paraId="691D780F">
      <w:pPr>
        <w:tabs>
          <w:tab w:val="left" w:pos="1224"/>
        </w:tabs>
        <w:ind w:firstLine="0" w:firstLineChars="0"/>
        <w:jc w:val="center"/>
        <w:rPr>
          <w:rStyle w:val="11"/>
        </w:rPr>
      </w:pPr>
      <w:r>
        <w:rPr>
          <w:rFonts w:hint="eastAsia"/>
          <w:b/>
          <w:bCs/>
        </w:rPr>
        <w:t xml:space="preserve">目 </w:t>
      </w:r>
      <w:r>
        <w:rPr>
          <w:b/>
          <w:bCs/>
        </w:rPr>
        <w:t xml:space="preserve"> </w:t>
      </w:r>
      <w:r>
        <w:rPr>
          <w:rFonts w:hint="eastAsia"/>
          <w:b/>
          <w:bCs/>
        </w:rPr>
        <w:t>录</w:t>
      </w:r>
    </w:p>
    <w:p w14:paraId="0343BE2E">
      <w:pPr>
        <w:ind w:firstLine="0" w:firstLineChars="0"/>
        <w:jc w:val="center"/>
      </w:pPr>
      <w:r>
        <w:rPr>
          <w:rFonts w:ascii="宋体" w:hAnsi="宋体" w:eastAsia="宋体"/>
          <w:sz w:val="21"/>
        </w:rPr>
        <w:t>目录</w:t>
      </w:r>
    </w:p>
    <w:p w14:paraId="47964C0A">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sz w:val="36"/>
          <w:szCs w:val="36"/>
        </w:rPr>
        <w:fldChar w:fldCharType="begin"/>
      </w:r>
      <w:r>
        <w:rPr>
          <w:rStyle w:val="11"/>
          <w:rFonts w:hint="eastAsia" w:ascii="仿宋" w:hAnsi="仿宋" w:eastAsia="仿宋" w:cs="仿宋"/>
          <w:sz w:val="36"/>
          <w:szCs w:val="36"/>
        </w:rPr>
        <w:instrText xml:space="preserve">TOC \o "1-2" \h \u </w:instrText>
      </w:r>
      <w:r>
        <w:rPr>
          <w:rFonts w:hint="eastAsia" w:ascii="仿宋" w:hAnsi="仿宋" w:eastAsia="仿宋" w:cs="仿宋"/>
          <w:sz w:val="36"/>
          <w:szCs w:val="36"/>
        </w:rPr>
        <w:fldChar w:fldCharType="separate"/>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_Toc13154 </w:instrText>
      </w:r>
      <w:r>
        <w:rPr>
          <w:rFonts w:hint="eastAsia" w:ascii="仿宋" w:hAnsi="仿宋" w:eastAsia="仿宋" w:cs="仿宋"/>
          <w:b/>
          <w:sz w:val="32"/>
          <w:szCs w:val="32"/>
        </w:rPr>
        <w:fldChar w:fldCharType="separate"/>
      </w:r>
      <w:r>
        <w:rPr>
          <w:rFonts w:hint="eastAsia" w:ascii="仿宋" w:hAnsi="仿宋" w:eastAsia="仿宋" w:cs="仿宋"/>
          <w:b/>
          <w:bCs/>
          <w:sz w:val="32"/>
          <w:szCs w:val="52"/>
          <w:lang w:bidi="en-US"/>
        </w:rPr>
        <w:t>一、基本情况</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_Toc13154 </w:instrText>
      </w:r>
      <w:r>
        <w:rPr>
          <w:rFonts w:hint="eastAsia" w:ascii="仿宋" w:hAnsi="仿宋" w:eastAsia="仿宋" w:cs="仿宋"/>
          <w:b/>
          <w:sz w:val="32"/>
          <w:szCs w:val="32"/>
        </w:rPr>
        <w:fldChar w:fldCharType="separate"/>
      </w:r>
      <w:r>
        <w:rPr>
          <w:rFonts w:hint="eastAsia" w:ascii="仿宋" w:hAnsi="仿宋" w:eastAsia="仿宋" w:cs="仿宋"/>
          <w:b/>
          <w:sz w:val="32"/>
          <w:szCs w:val="32"/>
        </w:rPr>
        <w:t>1</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2E3F07E5">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_Toc2044 </w:instrText>
      </w:r>
      <w:r>
        <w:rPr>
          <w:rFonts w:hint="eastAsia" w:ascii="仿宋" w:hAnsi="仿宋" w:eastAsia="仿宋" w:cs="仿宋"/>
          <w:sz w:val="32"/>
          <w:szCs w:val="32"/>
        </w:rPr>
        <w:fldChar w:fldCharType="separate"/>
      </w:r>
      <w:r>
        <w:rPr>
          <w:rFonts w:hint="eastAsia" w:ascii="仿宋" w:hAnsi="仿宋" w:eastAsia="仿宋" w:cs="仿宋"/>
          <w:bCs/>
          <w:sz w:val="32"/>
          <w:szCs w:val="48"/>
          <w:lang w:bidi="en-US"/>
        </w:rPr>
        <w:t>（一）项目概况：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_Toc2044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401CE8E">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_Toc4316 </w:instrText>
      </w:r>
      <w:r>
        <w:rPr>
          <w:rFonts w:hint="eastAsia" w:ascii="仿宋" w:hAnsi="仿宋" w:eastAsia="仿宋" w:cs="仿宋"/>
          <w:sz w:val="32"/>
          <w:szCs w:val="32"/>
        </w:rPr>
        <w:fldChar w:fldCharType="separate"/>
      </w:r>
      <w:r>
        <w:rPr>
          <w:rFonts w:hint="eastAsia" w:ascii="仿宋" w:hAnsi="仿宋" w:eastAsia="仿宋" w:cs="仿宋"/>
          <w:bCs/>
          <w:sz w:val="32"/>
          <w:szCs w:val="48"/>
          <w:lang w:bidi="en-US"/>
        </w:rPr>
        <w:t>（二）项目绩效目标：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_Toc4316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B39D0D3">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_Toc7851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二、绩效评价工作开展情况</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_Toc7851 </w:instrText>
      </w:r>
      <w:r>
        <w:rPr>
          <w:rFonts w:hint="eastAsia" w:ascii="仿宋" w:hAnsi="仿宋" w:eastAsia="仿宋" w:cs="仿宋"/>
          <w:b/>
          <w:sz w:val="32"/>
          <w:szCs w:val="32"/>
        </w:rPr>
        <w:fldChar w:fldCharType="separate"/>
      </w:r>
      <w:r>
        <w:rPr>
          <w:rFonts w:hint="eastAsia" w:ascii="仿宋" w:hAnsi="仿宋" w:eastAsia="仿宋" w:cs="仿宋"/>
          <w:b/>
          <w:sz w:val="32"/>
          <w:szCs w:val="32"/>
        </w:rPr>
        <w:t>3</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6ACCF5EE">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_Toc20568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_Toc20568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E111447">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_Toc23646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（二）绩效评价原则、指标体系、方法及标准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_Toc23646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21F890A">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_Toc12695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_Toc12695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E5C90D0">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_Toc28860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三、综合评价情况及评价结论</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_Toc28860 </w:instrText>
      </w:r>
      <w:r>
        <w:rPr>
          <w:rFonts w:hint="eastAsia" w:ascii="仿宋" w:hAnsi="仿宋" w:eastAsia="仿宋" w:cs="仿宋"/>
          <w:b/>
          <w:sz w:val="32"/>
          <w:szCs w:val="32"/>
        </w:rPr>
        <w:fldChar w:fldCharType="separate"/>
      </w:r>
      <w:r>
        <w:rPr>
          <w:rFonts w:hint="eastAsia" w:ascii="仿宋" w:hAnsi="仿宋" w:eastAsia="仿宋" w:cs="仿宋"/>
          <w:b/>
          <w:sz w:val="32"/>
          <w:szCs w:val="32"/>
        </w:rPr>
        <w:t>13</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4558ED09">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_Toc14030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_Toc14030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16BC641">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_Toc23106 </w:instrText>
      </w:r>
      <w:r>
        <w:rPr>
          <w:rFonts w:hint="eastAsia" w:ascii="仿宋" w:hAnsi="仿宋" w:eastAsia="仿宋" w:cs="仿宋"/>
          <w:sz w:val="32"/>
          <w:szCs w:val="32"/>
        </w:rPr>
        <w:fldChar w:fldCharType="separate"/>
      </w:r>
      <w:r>
        <w:rPr>
          <w:rFonts w:hint="eastAsia" w:ascii="仿宋" w:hAnsi="仿宋" w:eastAsia="仿宋" w:cs="仿宋"/>
          <w:bCs/>
          <w:sz w:val="32"/>
          <w:szCs w:val="48"/>
        </w:rPr>
        <w:t>（二）主要绩效</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_Toc23106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EA1A638">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_Toc20059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四、绩效评价指标分析</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_Toc20059 </w:instrText>
      </w:r>
      <w:r>
        <w:rPr>
          <w:rFonts w:hint="eastAsia" w:ascii="仿宋" w:hAnsi="仿宋" w:eastAsia="仿宋" w:cs="仿宋"/>
          <w:b/>
          <w:sz w:val="32"/>
          <w:szCs w:val="32"/>
        </w:rPr>
        <w:fldChar w:fldCharType="separate"/>
      </w:r>
      <w:r>
        <w:rPr>
          <w:rFonts w:hint="eastAsia" w:ascii="仿宋" w:hAnsi="仿宋" w:eastAsia="仿宋" w:cs="仿宋"/>
          <w:b/>
          <w:sz w:val="32"/>
          <w:szCs w:val="32"/>
        </w:rPr>
        <w:t>14</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498F6128">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_Toc22626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_Toc22626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0222B20">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_Toc16968 </w:instrText>
      </w:r>
      <w:r>
        <w:rPr>
          <w:rFonts w:hint="eastAsia" w:ascii="仿宋" w:hAnsi="仿宋" w:eastAsia="仿宋" w:cs="仿宋"/>
          <w:sz w:val="32"/>
          <w:szCs w:val="32"/>
        </w:rPr>
        <w:fldChar w:fldCharType="separate"/>
      </w:r>
      <w:r>
        <w:rPr>
          <w:rFonts w:hint="eastAsia" w:ascii="仿宋" w:hAnsi="仿宋" w:eastAsia="仿宋" w:cs="仿宋"/>
          <w:bCs/>
          <w:sz w:val="32"/>
          <w:szCs w:val="48"/>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_Toc16968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1B3D4FA">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_Toc31704 </w:instrText>
      </w:r>
      <w:r>
        <w:rPr>
          <w:rFonts w:hint="eastAsia" w:ascii="仿宋" w:hAnsi="仿宋" w:eastAsia="仿宋" w:cs="仿宋"/>
          <w:sz w:val="32"/>
          <w:szCs w:val="32"/>
        </w:rPr>
        <w:fldChar w:fldCharType="separate"/>
      </w:r>
      <w:r>
        <w:rPr>
          <w:rFonts w:hint="eastAsia" w:ascii="仿宋" w:hAnsi="仿宋" w:eastAsia="仿宋" w:cs="仿宋"/>
          <w:bCs/>
          <w:sz w:val="32"/>
          <w:szCs w:val="48"/>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_Toc31704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181DBE2C">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_Toc31697 </w:instrText>
      </w:r>
      <w:r>
        <w:rPr>
          <w:rFonts w:hint="eastAsia" w:ascii="仿宋" w:hAnsi="仿宋" w:eastAsia="仿宋" w:cs="仿宋"/>
          <w:sz w:val="32"/>
          <w:szCs w:val="32"/>
        </w:rPr>
        <w:fldChar w:fldCharType="separate"/>
      </w:r>
      <w:r>
        <w:rPr>
          <w:rFonts w:hint="eastAsia" w:ascii="仿宋" w:hAnsi="仿宋" w:eastAsia="仿宋" w:cs="仿宋"/>
          <w:bCs/>
          <w:sz w:val="32"/>
          <w:szCs w:val="48"/>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_Toc31697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AB3A085">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_Toc32407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五、预算执行进度与绩效指标偏差</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_Toc32407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0180100B">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_Toc5156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六、主要经验及做法、存在的问题及原因分析</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_Toc5156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059D2954">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_Toc18450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（一）主要经验及做法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_Toc18450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47588E7">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_Toc9205 </w:instrText>
      </w:r>
      <w:r>
        <w:rPr>
          <w:rFonts w:hint="eastAsia" w:ascii="仿宋" w:hAnsi="仿宋" w:eastAsia="仿宋" w:cs="仿宋"/>
          <w:sz w:val="32"/>
          <w:szCs w:val="32"/>
        </w:rPr>
        <w:fldChar w:fldCharType="separate"/>
      </w:r>
      <w:r>
        <w:rPr>
          <w:rFonts w:hint="eastAsia" w:ascii="仿宋" w:hAnsi="仿宋" w:eastAsia="仿宋" w:cs="仿宋"/>
          <w:bCs/>
          <w:sz w:val="32"/>
          <w:szCs w:val="48"/>
        </w:rPr>
        <w:t>（二）存在的问题及原因分析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_Toc9205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42D5513">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_Toc26872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七、其他需要说明的问题</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_Toc26872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164104E4">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_Toc4317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八、有关建议</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_Toc4317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36C07898">
      <w:pPr>
        <w:tabs>
          <w:tab w:val="left" w:pos="1224"/>
        </w:tabs>
        <w:spacing w:line="560" w:lineRule="exact"/>
        <w:ind w:firstLine="0" w:firstLineChars="0"/>
        <w:jc w:val="center"/>
        <w:rPr>
          <w:rStyle w:val="11"/>
          <w:rFonts w:hint="eastAsia"/>
        </w:rPr>
      </w:pPr>
      <w:r>
        <w:rPr>
          <w:rFonts w:hint="eastAsia" w:ascii="仿宋" w:hAnsi="仿宋" w:eastAsia="仿宋" w:cs="仿宋"/>
          <w:b/>
          <w:sz w:val="48"/>
          <w:szCs w:val="40"/>
        </w:rPr>
        <w:fldChar w:fldCharType="end"/>
      </w:r>
    </w:p>
    <w:p w14:paraId="0BC6F142">
      <w:pPr>
        <w:tabs>
          <w:tab w:val="left" w:pos="1224"/>
        </w:tabs>
        <w:ind w:firstLine="560"/>
        <w:sectPr>
          <w:headerReference r:id="rId9" w:type="default"/>
          <w:pgSz w:w="11906" w:h="16838"/>
          <w:pgMar w:top="1440" w:right="1800" w:bottom="1440" w:left="1800" w:header="851" w:footer="992" w:gutter="0"/>
          <w:cols w:space="720" w:num="1"/>
          <w:docGrid w:type="lines" w:linePitch="312" w:charSpace="0"/>
        </w:sectPr>
      </w:pPr>
    </w:p>
    <w:p w14:paraId="576B5221">
      <w:pPr>
        <w:spacing w:line="360" w:lineRule="auto"/>
        <w:ind w:firstLine="0" w:firstLineChars="0"/>
        <w:outlineLvl w:val="0"/>
        <w:rPr>
          <w:rFonts w:ascii="仿宋_GB2312" w:hAnsi="Times New Roman" w:cs="Times New Roman"/>
          <w:b/>
          <w:bCs/>
          <w:kern w:val="0"/>
          <w:sz w:val="32"/>
          <w:szCs w:val="32"/>
          <w:lang w:bidi="en-US"/>
        </w:rPr>
      </w:pPr>
      <w:bookmarkStart w:id="0" w:name="_Toc13154"/>
      <w:bookmarkStart w:id="1" w:name="_Toc67911601"/>
      <w:r>
        <w:rPr>
          <w:rFonts w:hint="eastAsia" w:ascii="仿宋_GB2312" w:hAnsi="Times New Roman" w:cs="Times New Roman"/>
          <w:b/>
          <w:bCs/>
          <w:kern w:val="0"/>
          <w:sz w:val="32"/>
          <w:szCs w:val="32"/>
          <w:lang w:bidi="en-US"/>
        </w:rPr>
        <w:t>一、基本情况</w:t>
      </w:r>
      <w:bookmarkEnd w:id="0"/>
      <w:bookmarkEnd w:id="1"/>
    </w:p>
    <w:p w14:paraId="61BBAC15">
      <w:pPr>
        <w:spacing w:line="360" w:lineRule="auto"/>
        <w:ind w:firstLine="560"/>
        <w:outlineLvl w:val="1"/>
        <w:rPr>
          <w:rFonts w:ascii="仿宋_GB2312" w:hAnsi="Times New Roman" w:cs="Times New Roman"/>
          <w:b/>
          <w:bCs/>
          <w:kern w:val="0"/>
          <w:szCs w:val="28"/>
          <w:lang w:bidi="en-US"/>
        </w:rPr>
      </w:pPr>
      <w:bookmarkStart w:id="2" w:name="_Toc2044"/>
      <w:bookmarkStart w:id="3" w:name="_Toc67911602"/>
      <w:r>
        <w:rPr>
          <w:rFonts w:hint="eastAsia" w:ascii="仿宋_GB2312" w:hAnsi="Times New Roman" w:cs="Times New Roman"/>
          <w:b/>
          <w:bCs/>
          <w:kern w:val="0"/>
          <w:szCs w:val="28"/>
          <w:lang w:bidi="en-US"/>
        </w:rPr>
        <w:t>（一）项目概况：</w:t>
      </w:r>
      <w:bookmarkEnd w:id="2"/>
      <w:bookmarkEnd w:id="3"/>
      <w:r>
        <w:rPr>
          <w:rFonts w:hint="eastAsia" w:ascii="仿宋_GB2312" w:hAnsi="仿宋" w:eastAsia="仿宋_GB2312" w:cs="宋体"/>
          <w:sz w:val="30"/>
          <w:szCs w:val="30"/>
        </w:rPr>
        <w:t>立项依据</w:t>
      </w:r>
      <w:r>
        <w:rPr>
          <w:rFonts w:hint="eastAsia" w:ascii="仿宋_GB2312" w:hAnsi="仿宋" w:eastAsia="仿宋_GB2312"/>
          <w:kern w:val="0"/>
          <w:sz w:val="30"/>
          <w:szCs w:val="30"/>
        </w:rPr>
        <w:t>：</w:t>
      </w:r>
      <w:r>
        <w:rPr>
          <w:rFonts w:hint="eastAsia" w:ascii="仿宋_GB2312" w:hAnsi="仿宋" w:eastAsia="仿宋_GB2312" w:cs="宋体"/>
          <w:kern w:val="0"/>
          <w:sz w:val="30"/>
          <w:szCs w:val="30"/>
        </w:rPr>
        <w:t>伊犁哈萨克自治州塔城地区发展和改革委员会《地区发展改革委关于额敏县热力站建设及管网铺设工程项目可行性研究报告(代项目建议书)的批复》（塔地发改投资[2020]31号）。</w:t>
      </w:r>
    </w:p>
    <w:p w14:paraId="1FD2A4DE">
      <w:pPr>
        <w:spacing w:line="360" w:lineRule="auto"/>
        <w:ind w:firstLine="640"/>
        <w:rPr>
          <w:rFonts w:ascii="仿宋_GB2312" w:hAnsi="Times New Roman" w:cs="Times New Roman"/>
          <w:b/>
          <w:bCs/>
          <w:kern w:val="0"/>
          <w:szCs w:val="28"/>
          <w:lang w:bidi="en-US"/>
        </w:rPr>
      </w:pPr>
      <w:r>
        <w:rPr>
          <w:rFonts w:hint="eastAsia" w:ascii="方正仿宋简体" w:hAnsi="方正仿宋简体" w:eastAsia="方正仿宋简体" w:cs="方正仿宋简体"/>
          <w:kern w:val="0"/>
          <w:sz w:val="32"/>
          <w:szCs w:val="32"/>
        </w:rPr>
        <w:t>1、项目背景</w:t>
      </w:r>
    </w:p>
    <w:p w14:paraId="751A86C0">
      <w:pPr>
        <w:spacing w:line="600" w:lineRule="exact"/>
        <w:ind w:firstLine="750" w:firstLineChars="250"/>
        <w:rPr>
          <w:rFonts w:hint="eastAsia" w:ascii="仿宋_GB2312" w:eastAsia="仿宋_GB2312"/>
          <w:color w:val="000000"/>
          <w:sz w:val="32"/>
          <w:szCs w:val="32"/>
        </w:rPr>
      </w:pPr>
      <w:r>
        <w:rPr>
          <w:rFonts w:hint="eastAsia" w:ascii="仿宋_GB2312" w:hAnsi="仿宋" w:eastAsia="仿宋_GB2312" w:cs="宋体"/>
          <w:kern w:val="0"/>
          <w:sz w:val="30"/>
          <w:szCs w:val="30"/>
          <w:lang w:val="en-US" w:eastAsia="zh-CN"/>
        </w:rPr>
        <w:t>2020年12月7日，国务院以国函〔2020〕166号批复同意设立新疆塔城重点开发开放试验区。塔城重点开发开放试验区建设有利于深化与周边国家全面合作，加快建设丝绸之路经济带核心区，推进共建“一带一路”高质量发展；有利于打造我国西北地区重要的国际合作平台，促进生产要素集聚，增强经济发展动力，形成沿边地区新的经济增长地带；有利于兴边富边和加快边境地区城镇化建设，提高城市承载能力，促进稳边安边固边；有利于提高边境地区、民族地区人民生活水平，进一步铸牢中华民族共同体意识，实现新疆社会稳定和长治久安。</w:t>
      </w:r>
    </w:p>
    <w:p w14:paraId="13422939">
      <w:pPr>
        <w:spacing w:line="360" w:lineRule="auto"/>
        <w:ind w:firstLine="560"/>
        <w:outlineLvl w:val="1"/>
        <w:rPr>
          <w:rFonts w:hint="eastAsia" w:ascii="仿宋_GB2312" w:hAnsi="仿宋" w:eastAsia="仿宋_GB2312" w:cs="宋体"/>
          <w:kern w:val="0"/>
          <w:sz w:val="30"/>
          <w:szCs w:val="30"/>
        </w:rPr>
      </w:pPr>
      <w:r>
        <w:rPr>
          <w:rFonts w:hint="eastAsia" w:ascii="仿宋_GB2312" w:hAnsi="仿宋" w:eastAsia="仿宋_GB2312" w:cs="宋体"/>
          <w:kern w:val="0"/>
          <w:sz w:val="30"/>
          <w:szCs w:val="30"/>
          <w:lang w:val="en-US" w:eastAsia="zh-CN"/>
        </w:rPr>
        <w:t>本项目依据额敏县总体规划和集中供热专项规划，贯彻远近结合，以近期为主，合理布局统筹安排，分期实施的原则。由于城市的发展，热用户的增加，县城现有的集中供热设施也感受到了其场区近几年建设发展所带来的紧迫压力。在满足城市发展所需的基础</w:t>
      </w:r>
      <w:r>
        <w:rPr>
          <w:rFonts w:hint="eastAsia" w:ascii="仿宋_GB2312" w:hAnsi="仿宋" w:cs="宋体"/>
          <w:kern w:val="0"/>
          <w:sz w:val="30"/>
          <w:szCs w:val="30"/>
          <w:lang w:val="en-US" w:eastAsia="zh-CN"/>
        </w:rPr>
        <w:t>设</w:t>
      </w:r>
      <w:bookmarkStart w:id="44" w:name="_GoBack"/>
      <w:bookmarkEnd w:id="44"/>
      <w:r>
        <w:rPr>
          <w:rFonts w:hint="eastAsia" w:ascii="仿宋_GB2312" w:hAnsi="仿宋" w:eastAsia="仿宋_GB2312" w:cs="宋体"/>
          <w:kern w:val="0"/>
          <w:sz w:val="30"/>
          <w:szCs w:val="30"/>
          <w:lang w:val="en-US" w:eastAsia="zh-CN"/>
        </w:rPr>
        <w:t>施建设的同时，提高供热保障工作，保证市民的安全供暖。</w:t>
      </w:r>
    </w:p>
    <w:p w14:paraId="754E0E24">
      <w:pPr>
        <w:widowControl/>
        <w:spacing w:line="560" w:lineRule="exact"/>
        <w:ind w:firstLine="640"/>
        <w:rPr>
          <w:rFonts w:hint="eastAsia" w:ascii="方正仿宋简体" w:hAnsi="方正仿宋简体" w:eastAsia="方正仿宋简体" w:cs="方正仿宋简体"/>
          <w:sz w:val="32"/>
          <w:szCs w:val="32"/>
        </w:rPr>
      </w:pPr>
    </w:p>
    <w:p w14:paraId="227FE919">
      <w:pPr>
        <w:widowControl/>
        <w:spacing w:line="560" w:lineRule="exact"/>
        <w:ind w:firstLine="64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2、主要内容及实施情况</w:t>
      </w:r>
    </w:p>
    <w:p w14:paraId="126B48FE">
      <w:pPr>
        <w:spacing w:line="560" w:lineRule="exact"/>
        <w:ind w:firstLine="640"/>
        <w:rPr>
          <w:rFonts w:hint="eastAsia" w:ascii="仿宋_GB2312"/>
          <w:sz w:val="32"/>
          <w:szCs w:val="32"/>
          <w:lang w:eastAsia="zh-CN"/>
        </w:rPr>
      </w:pPr>
      <w:r>
        <w:rPr>
          <w:rFonts w:hint="eastAsia" w:ascii="仿宋_GB2312"/>
          <w:sz w:val="32"/>
          <w:szCs w:val="32"/>
          <w:lang w:val="en-US" w:eastAsia="zh-CN"/>
        </w:rPr>
        <w:t>主要建设内容：</w:t>
      </w:r>
      <w:r>
        <w:rPr>
          <w:rFonts w:hint="eastAsia" w:ascii="仿宋_GB2312" w:eastAsia="仿宋_GB2312"/>
          <w:color w:val="000000"/>
          <w:sz w:val="32"/>
          <w:szCs w:val="32"/>
        </w:rPr>
        <w:t>拟建换热站</w:t>
      </w:r>
      <w:r>
        <w:rPr>
          <w:rFonts w:ascii="仿宋_GB2312" w:eastAsia="仿宋_GB2312"/>
          <w:color w:val="000000"/>
          <w:sz w:val="32"/>
          <w:szCs w:val="32"/>
        </w:rPr>
        <w:t>3</w:t>
      </w:r>
      <w:r>
        <w:rPr>
          <w:rFonts w:hint="eastAsia" w:ascii="仿宋_GB2312" w:eastAsia="仿宋_GB2312"/>
          <w:color w:val="000000"/>
          <w:sz w:val="32"/>
          <w:szCs w:val="32"/>
        </w:rPr>
        <w:t>座，铺设</w:t>
      </w:r>
      <w:r>
        <w:rPr>
          <w:rFonts w:ascii="仿宋_GB2312" w:eastAsia="仿宋_GB2312"/>
          <w:color w:val="000000"/>
          <w:sz w:val="32"/>
          <w:szCs w:val="32"/>
        </w:rPr>
        <w:t>DN150-DN600</w:t>
      </w:r>
      <w:r>
        <w:rPr>
          <w:rFonts w:hint="eastAsia" w:ascii="仿宋_GB2312" w:eastAsia="仿宋_GB2312"/>
          <w:color w:val="000000"/>
          <w:sz w:val="32"/>
          <w:szCs w:val="32"/>
        </w:rPr>
        <w:t>供热</w:t>
      </w:r>
      <w:r>
        <w:rPr>
          <w:rFonts w:ascii="仿宋_GB2312" w:eastAsia="仿宋_GB2312"/>
          <w:color w:val="000000"/>
          <w:sz w:val="32"/>
          <w:szCs w:val="32"/>
        </w:rPr>
        <w:t>4000</w:t>
      </w:r>
      <w:r>
        <w:rPr>
          <w:rFonts w:hint="eastAsia" w:ascii="仿宋_GB2312" w:eastAsia="仿宋_GB2312"/>
          <w:color w:val="000000"/>
          <w:sz w:val="32"/>
          <w:szCs w:val="32"/>
        </w:rPr>
        <w:t>米及顶管穿越、自控、监控等配套附属设施</w:t>
      </w:r>
      <w:r>
        <w:rPr>
          <w:rFonts w:hint="eastAsia" w:ascii="仿宋_GB2312"/>
          <w:sz w:val="32"/>
          <w:szCs w:val="32"/>
          <w:lang w:eastAsia="zh-CN"/>
        </w:rPr>
        <w:t>。</w:t>
      </w:r>
    </w:p>
    <w:p w14:paraId="6CBFF706">
      <w:pPr>
        <w:spacing w:line="560" w:lineRule="exact"/>
        <w:ind w:firstLine="640"/>
        <w:rPr>
          <w:rFonts w:ascii="方正仿宋简体" w:hAnsi="方正仿宋简体" w:eastAsia="方正仿宋简体" w:cs="方正仿宋简体"/>
          <w:sz w:val="32"/>
          <w:szCs w:val="32"/>
        </w:rPr>
      </w:pPr>
      <w:r>
        <w:rPr>
          <w:rFonts w:hint="eastAsia" w:ascii="仿宋_GB2312"/>
          <w:sz w:val="32"/>
          <w:szCs w:val="32"/>
          <w:lang w:val="en-US" w:eastAsia="zh-CN"/>
        </w:rPr>
        <w:t>实施情况：本项目于2021年9月3日完成招投标工作，2021年9月3日开工建设，目前已完成工程总量约80%。</w:t>
      </w:r>
    </w:p>
    <w:p w14:paraId="29A04489">
      <w:pPr>
        <w:spacing w:line="560" w:lineRule="exact"/>
        <w:ind w:firstLine="64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3、资金投入和使用情况</w:t>
      </w:r>
    </w:p>
    <w:p w14:paraId="612AF1BC">
      <w:pPr>
        <w:spacing w:line="560" w:lineRule="exact"/>
        <w:ind w:firstLine="640"/>
        <w:rPr>
          <w:rFonts w:hint="eastAsia" w:ascii="仿宋_GB2312"/>
          <w:sz w:val="32"/>
          <w:szCs w:val="32"/>
          <w:lang w:val="en-US" w:eastAsia="zh-CN"/>
        </w:rPr>
      </w:pPr>
      <w:r>
        <w:rPr>
          <w:rFonts w:hint="eastAsia" w:ascii="仿宋_GB2312"/>
          <w:sz w:val="32"/>
          <w:szCs w:val="32"/>
          <w:lang w:val="en-US" w:eastAsia="zh-CN"/>
        </w:rPr>
        <w:t>资金投入情况：该项目年初预算数1000万元，全年预算数1000万元，实际总投入1000万元，该项目资金已全部落实到位,资金来源为财政拨款资金。</w:t>
      </w:r>
    </w:p>
    <w:p w14:paraId="0244ACC3">
      <w:pPr>
        <w:spacing w:line="560" w:lineRule="exact"/>
        <w:ind w:firstLine="640"/>
        <w:rPr>
          <w:rFonts w:hint="eastAsia" w:ascii="仿宋_GB2312" w:hAnsi="Times New Roman" w:eastAsia="仿宋_GB2312" w:cs="Times New Roman"/>
          <w:b/>
          <w:bCs/>
          <w:kern w:val="0"/>
          <w:szCs w:val="28"/>
          <w:lang w:val="en-US" w:eastAsia="zh-CN" w:bidi="en-US"/>
        </w:rPr>
      </w:pPr>
      <w:r>
        <w:rPr>
          <w:rFonts w:hint="eastAsia" w:ascii="方正仿宋简体" w:hAnsi="方正仿宋简体" w:eastAsia="方正仿宋简体" w:cs="方正仿宋简体"/>
          <w:sz w:val="32"/>
          <w:szCs w:val="32"/>
        </w:rPr>
        <w:t>资金使用情况：</w:t>
      </w:r>
      <w:r>
        <w:rPr>
          <w:rFonts w:hint="eastAsia" w:ascii="仿宋_GB2312"/>
          <w:sz w:val="32"/>
          <w:szCs w:val="32"/>
          <w:lang w:val="en-US" w:eastAsia="zh-CN"/>
        </w:rPr>
        <w:t>该项目年初预算数1000万元，全年预算数1000万元，全年执行数1000万元，预算执行率为100%，用于，新建换热站3座，铺</w:t>
      </w:r>
      <w:r>
        <w:rPr>
          <w:rFonts w:hint="eastAsia" w:ascii="仿宋_GB2312" w:hAnsi="仿宋" w:eastAsia="仿宋_GB2312" w:cs="宋体"/>
          <w:kern w:val="0"/>
          <w:sz w:val="30"/>
          <w:szCs w:val="30"/>
        </w:rPr>
        <w:t>设DN150-DN600供热</w:t>
      </w:r>
      <w:r>
        <w:rPr>
          <w:rFonts w:hint="eastAsia" w:ascii="仿宋_GB2312" w:hAnsi="仿宋" w:cs="宋体"/>
          <w:kern w:val="0"/>
          <w:sz w:val="30"/>
          <w:szCs w:val="30"/>
          <w:lang w:val="en-US" w:eastAsia="zh-CN"/>
        </w:rPr>
        <w:t>管网</w:t>
      </w:r>
      <w:r>
        <w:rPr>
          <w:rFonts w:hint="eastAsia" w:ascii="仿宋_GB2312" w:hAnsi="仿宋" w:eastAsia="仿宋_GB2312" w:cs="宋体"/>
          <w:kern w:val="0"/>
          <w:sz w:val="30"/>
          <w:szCs w:val="30"/>
        </w:rPr>
        <w:t>4000米及顶管穿越、自控、监控等配套附属设施</w:t>
      </w:r>
      <w:r>
        <w:rPr>
          <w:rFonts w:hint="eastAsia" w:ascii="仿宋_GB2312" w:hAnsi="仿宋" w:cs="宋体"/>
          <w:kern w:val="0"/>
          <w:sz w:val="30"/>
          <w:szCs w:val="30"/>
          <w:lang w:eastAsia="zh-CN"/>
        </w:rPr>
        <w:t>。</w:t>
      </w:r>
    </w:p>
    <w:p w14:paraId="735F0C7D">
      <w:pPr>
        <w:rPr>
          <w:rFonts w:hint="eastAsia" w:ascii="仿宋_GB2312" w:hAnsi="Times New Roman" w:cs="Times New Roman"/>
          <w:b/>
          <w:bCs/>
          <w:kern w:val="0"/>
          <w:szCs w:val="28"/>
          <w:lang w:bidi="en-US"/>
        </w:rPr>
      </w:pPr>
      <w:bookmarkStart w:id="4" w:name="_Toc67911603"/>
      <w:bookmarkStart w:id="5" w:name="_Toc4316"/>
    </w:p>
    <w:p w14:paraId="77DFC1C1">
      <w:pPr>
        <w:rPr>
          <w:rFonts w:ascii="仿宋_GB2312" w:hAnsi="Times New Roman" w:cs="Times New Roman"/>
          <w:b/>
          <w:bCs/>
          <w:kern w:val="0"/>
          <w:szCs w:val="28"/>
          <w:lang w:bidi="en-US"/>
        </w:rPr>
      </w:pPr>
      <w:r>
        <w:rPr>
          <w:rFonts w:hint="eastAsia" w:ascii="仿宋_GB2312" w:hAnsi="Times New Roman" w:cs="Times New Roman"/>
          <w:b/>
          <w:bCs/>
          <w:kern w:val="0"/>
          <w:szCs w:val="28"/>
          <w:lang w:bidi="en-US"/>
        </w:rPr>
        <w:t>（二）项目绩效目标：</w:t>
      </w:r>
      <w:bookmarkEnd w:id="4"/>
      <w:bookmarkEnd w:id="5"/>
    </w:p>
    <w:p w14:paraId="32310E35">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sz w:val="32"/>
          <w:szCs w:val="32"/>
          <w:lang w:val="en-US" w:eastAsia="zh-CN"/>
        </w:rPr>
      </w:pPr>
      <w:r>
        <w:rPr>
          <w:rFonts w:hint="eastAsia" w:ascii="方正仿宋简体" w:hAnsi="方正仿宋简体" w:eastAsia="方正仿宋简体" w:cs="方正仿宋简体"/>
          <w:sz w:val="32"/>
          <w:szCs w:val="32"/>
        </w:rPr>
        <w:t>1、总体目标：</w:t>
      </w:r>
      <w:r>
        <w:rPr>
          <w:rFonts w:hint="eastAsia" w:ascii="仿宋_GB2312"/>
          <w:sz w:val="32"/>
          <w:szCs w:val="32"/>
          <w:lang w:val="en-US" w:eastAsia="zh-CN"/>
        </w:rPr>
        <w:t>拟建换热站3座，铺设DN150-DN600供热4000米及顶管穿越、自控、监控等配套附属设施，保障居民群众冬季采暖问题，对城区供热设施的进一步建设和完善，改善居民的生活环境和居住条件。</w:t>
      </w:r>
    </w:p>
    <w:p w14:paraId="62B2C043">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eastAsia" w:ascii="仿宋_GB2312"/>
          <w:sz w:val="32"/>
          <w:szCs w:val="32"/>
          <w:lang w:val="en-US" w:eastAsia="zh-CN"/>
        </w:rPr>
      </w:pPr>
      <w:r>
        <w:rPr>
          <w:rFonts w:hint="eastAsia" w:ascii="方正仿宋简体" w:hAnsi="方正仿宋简体" w:eastAsia="方正仿宋简体" w:cs="方正仿宋简体"/>
          <w:sz w:val="32"/>
          <w:szCs w:val="32"/>
        </w:rPr>
        <w:t>2、阶段性目标：</w:t>
      </w:r>
      <w:r>
        <w:rPr>
          <w:rFonts w:hint="eastAsia" w:ascii="仿宋_GB2312"/>
          <w:sz w:val="32"/>
          <w:szCs w:val="32"/>
          <w:lang w:val="en-US" w:eastAsia="zh-CN"/>
        </w:rPr>
        <w:t>完成投资1000万元，计划2021年开工建设，新建换热站3座，铺设DN150-DN600供热4000米及顶管穿越、自控、监控等配套附属设施建设。</w:t>
      </w:r>
    </w:p>
    <w:p w14:paraId="67270A2A">
      <w:pPr>
        <w:spacing w:line="360" w:lineRule="auto"/>
        <w:ind w:firstLine="0" w:firstLineChars="0"/>
        <w:outlineLvl w:val="0"/>
        <w:rPr>
          <w:b/>
          <w:bCs/>
          <w:sz w:val="32"/>
          <w:szCs w:val="32"/>
        </w:rPr>
      </w:pPr>
      <w:bookmarkStart w:id="6" w:name="_Toc67911604"/>
      <w:bookmarkStart w:id="7" w:name="_Toc7851"/>
      <w:r>
        <w:rPr>
          <w:rFonts w:hint="eastAsia"/>
          <w:b/>
          <w:bCs/>
          <w:sz w:val="32"/>
          <w:szCs w:val="32"/>
        </w:rPr>
        <w:t>二、绩效评价工作开展情况</w:t>
      </w:r>
      <w:bookmarkEnd w:id="6"/>
      <w:bookmarkEnd w:id="7"/>
    </w:p>
    <w:p w14:paraId="1D2B245A">
      <w:pPr>
        <w:spacing w:line="360" w:lineRule="auto"/>
        <w:ind w:firstLine="560"/>
        <w:outlineLvl w:val="1"/>
        <w:rPr>
          <w:b/>
          <w:bCs/>
          <w:szCs w:val="28"/>
        </w:rPr>
      </w:pPr>
      <w:bookmarkStart w:id="8" w:name="_Toc67911605"/>
      <w:bookmarkStart w:id="9" w:name="_Toc20568"/>
      <w:r>
        <w:rPr>
          <w:rFonts w:hint="eastAsia"/>
          <w:b/>
          <w:bCs/>
          <w:szCs w:val="28"/>
        </w:rPr>
        <w:t>（一）绩效评价目的、对象和范围</w:t>
      </w:r>
      <w:bookmarkEnd w:id="8"/>
      <w:bookmarkEnd w:id="9"/>
    </w:p>
    <w:p w14:paraId="4DCC4310">
      <w:pPr>
        <w:spacing w:line="360" w:lineRule="auto"/>
        <w:ind w:firstLine="560"/>
        <w:rPr>
          <w:rFonts w:ascii="仿宋_GB2312"/>
          <w:b/>
          <w:bCs/>
        </w:rPr>
      </w:pPr>
      <w:r>
        <w:rPr>
          <w:rFonts w:hint="eastAsia" w:ascii="仿宋_GB2312"/>
          <w:b/>
          <w:bCs/>
        </w:rPr>
        <w:t>1.评价目的</w:t>
      </w:r>
    </w:p>
    <w:p w14:paraId="2A15DF9F">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1B61622B">
      <w:pPr>
        <w:numPr>
          <w:ilvl w:val="0"/>
          <w:numId w:val="1"/>
        </w:numPr>
        <w:spacing w:line="360" w:lineRule="auto"/>
        <w:ind w:firstLine="560"/>
        <w:rPr>
          <w:rStyle w:val="11"/>
        </w:rPr>
      </w:pPr>
      <w:r>
        <w:rPr>
          <w:rFonts w:hint="eastAsia" w:ascii="仿宋_GB2312"/>
          <w:b/>
          <w:bCs/>
        </w:rPr>
        <w:t>绩效评价对象</w:t>
      </w:r>
      <w:r>
        <w:rPr>
          <w:rFonts w:hint="eastAsia" w:ascii="仿宋_GB2312"/>
          <w:lang w:eastAsia="zh-CN"/>
        </w:rPr>
        <w:t>：</w:t>
      </w:r>
      <w:r>
        <w:rPr>
          <w:rFonts w:hint="eastAsia" w:ascii="仿宋_GB2312"/>
        </w:rPr>
        <w:t>额敏县热力站建设及管网铺设工程项目</w:t>
      </w:r>
    </w:p>
    <w:p w14:paraId="4F5EA730">
      <w:pPr>
        <w:spacing w:line="560" w:lineRule="exact"/>
        <w:ind w:firstLine="560"/>
        <w:rPr>
          <w:rFonts w:ascii="仿宋_GB2312"/>
          <w:b/>
          <w:bCs/>
        </w:rPr>
      </w:pPr>
      <w:r>
        <w:rPr>
          <w:rFonts w:hint="eastAsia" w:ascii="仿宋_GB2312"/>
          <w:b/>
          <w:bCs/>
        </w:rPr>
        <w:t>3、绩效评价范围</w:t>
      </w:r>
    </w:p>
    <w:p w14:paraId="2C360680">
      <w:pPr>
        <w:spacing w:line="560" w:lineRule="exact"/>
        <w:ind w:firstLine="560"/>
        <w:rPr>
          <w:rFonts w:ascii="仿宋_GB2312"/>
        </w:rPr>
      </w:pPr>
      <w:r>
        <w:rPr>
          <w:rFonts w:hint="eastAsia" w:ascii="仿宋_GB2312"/>
        </w:rPr>
        <w:t>本次评价从项目决策（包括绩效目标、决策过程）、项目管理（包括项目资金、项目实施）、项目产出（包括项目产出数量、产出质量、产出时效和产出成本）项目效益四个维度进行额敏县热力站建设及管网铺设工程项目评价，评价核心为专项资金的支出完成情况和效果。</w:t>
      </w:r>
    </w:p>
    <w:p w14:paraId="43AAD69A">
      <w:pPr>
        <w:spacing w:line="360" w:lineRule="auto"/>
        <w:ind w:firstLine="560"/>
        <w:outlineLvl w:val="1"/>
        <w:rPr>
          <w:rFonts w:ascii="仿宋_GB2312"/>
          <w:b/>
          <w:bCs/>
        </w:rPr>
      </w:pPr>
      <w:bookmarkStart w:id="10" w:name="_Toc67911606"/>
      <w:bookmarkStart w:id="11" w:name="_Toc23646"/>
      <w:bookmarkStart w:id="12" w:name="_Hlk67586765"/>
      <w:r>
        <w:rPr>
          <w:rFonts w:hint="eastAsia" w:ascii="仿宋_GB2312"/>
          <w:b/>
          <w:bCs/>
        </w:rPr>
        <w:t>（二）绩效评价原则、指标体系、方法及标准</w:t>
      </w:r>
      <w:bookmarkEnd w:id="10"/>
      <w:bookmarkEnd w:id="11"/>
    </w:p>
    <w:bookmarkEnd w:id="12"/>
    <w:p w14:paraId="0C04A5EA">
      <w:pPr>
        <w:spacing w:line="360" w:lineRule="auto"/>
        <w:ind w:firstLine="560"/>
        <w:rPr>
          <w:rFonts w:ascii="仿宋_GB2312"/>
          <w:b/>
          <w:bCs/>
        </w:rPr>
      </w:pPr>
      <w:r>
        <w:rPr>
          <w:rFonts w:hint="eastAsia" w:ascii="仿宋_GB2312"/>
          <w:b/>
          <w:bCs/>
        </w:rPr>
        <w:t>1</w:t>
      </w:r>
      <w:r>
        <w:rPr>
          <w:rFonts w:ascii="仿宋_GB2312"/>
          <w:b/>
          <w:bCs/>
        </w:rPr>
        <w:t>.</w:t>
      </w:r>
      <w:r>
        <w:rPr>
          <w:rFonts w:hint="eastAsia" w:ascii="仿宋_GB2312"/>
          <w:b/>
          <w:bCs/>
        </w:rPr>
        <w:t>评价原则</w:t>
      </w:r>
    </w:p>
    <w:p w14:paraId="042E2EF7">
      <w:pPr>
        <w:spacing w:line="360" w:lineRule="auto"/>
        <w:ind w:firstLine="560"/>
        <w:rPr>
          <w:rFonts w:ascii="仿宋_GB2312"/>
        </w:rPr>
      </w:pPr>
      <w:r>
        <w:rPr>
          <w:rFonts w:hint="eastAsia" w:ascii="仿宋_GB2312"/>
        </w:rPr>
        <w:t>（1）科学规范原则：绩效评价应当严格执行规定的程序，按照科学可行的要求，采用定量与定性分析相结合的方法。</w:t>
      </w:r>
    </w:p>
    <w:p w14:paraId="7646D506">
      <w:pPr>
        <w:spacing w:line="360" w:lineRule="auto"/>
        <w:ind w:firstLine="560"/>
        <w:rPr>
          <w:rFonts w:ascii="仿宋_GB2312"/>
        </w:rPr>
      </w:pPr>
      <w:r>
        <w:rPr>
          <w:rFonts w:hint="eastAsia" w:ascii="仿宋_GB2312"/>
        </w:rPr>
        <w:t>（2）公正公开原则：绩效评价应当符合真实、客观、公正的要求，依法公开并接受监督。</w:t>
      </w:r>
    </w:p>
    <w:p w14:paraId="25EBE0FF">
      <w:pPr>
        <w:spacing w:line="360" w:lineRule="auto"/>
        <w:ind w:firstLine="560"/>
        <w:rPr>
          <w:rFonts w:ascii="仿宋_GB2312"/>
        </w:rPr>
      </w:pPr>
      <w:r>
        <w:rPr>
          <w:rFonts w:hint="eastAsia" w:ascii="仿宋_GB2312"/>
        </w:rPr>
        <w:t>（3）分级分类原则：根据评价对象特点分类组织实施。</w:t>
      </w:r>
    </w:p>
    <w:p w14:paraId="03352249">
      <w:pPr>
        <w:spacing w:line="360" w:lineRule="auto"/>
        <w:ind w:firstLine="560"/>
        <w:rPr>
          <w:rFonts w:ascii="仿宋_GB2312"/>
        </w:rPr>
      </w:pPr>
      <w:r>
        <w:rPr>
          <w:rFonts w:hint="eastAsia" w:ascii="仿宋_GB2312"/>
        </w:rPr>
        <w:t>（4）绩效相关原则：绩效评价应当针对具体支出及其产出绩效进行，评价结果应当清晰反映支出和产出绩效之间的紧密对应关系。</w:t>
      </w:r>
    </w:p>
    <w:p w14:paraId="0019C051">
      <w:pPr>
        <w:spacing w:line="360" w:lineRule="auto"/>
        <w:ind w:firstLine="560"/>
        <w:rPr>
          <w:rFonts w:ascii="仿宋_GB2312"/>
          <w:b/>
          <w:bCs/>
        </w:rPr>
      </w:pPr>
      <w:r>
        <w:rPr>
          <w:rFonts w:ascii="仿宋_GB2312"/>
          <w:b/>
          <w:bCs/>
        </w:rPr>
        <w:t>2.</w:t>
      </w:r>
      <w:r>
        <w:rPr>
          <w:rFonts w:hint="eastAsia" w:ascii="仿宋_GB2312"/>
          <w:b/>
          <w:bCs/>
        </w:rPr>
        <w:t>评价指标体系</w:t>
      </w:r>
    </w:p>
    <w:p w14:paraId="3B4A73AE">
      <w:pPr>
        <w:spacing w:line="600" w:lineRule="exact"/>
        <w:ind w:firstLine="640"/>
        <w:jc w:val="left"/>
        <w:rPr>
          <w:rFonts w:ascii="仿宋_GB2312" w:hAnsi="仿宋_GB2312" w:cs="仿宋_GB2312"/>
          <w:sz w:val="32"/>
          <w:szCs w:val="32"/>
        </w:rPr>
      </w:pPr>
      <w:r>
        <w:rPr>
          <w:rFonts w:hint="eastAsia" w:ascii="仿宋_GB2312" w:hAnsi="仿宋_GB2312" w:cs="仿宋_GB2312"/>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w:t>
      </w:r>
      <w:r>
        <w:rPr>
          <w:rFonts w:hint="eastAsia" w:ascii="仿宋_GB2312"/>
        </w:rPr>
        <w:t>额敏县热力站建设及管网铺设工程项目</w:t>
      </w:r>
      <w:r>
        <w:rPr>
          <w:rFonts w:hint="eastAsia" w:ascii="Times New Roman" w:hAnsi="Times New Roman" w:cs="Times New Roman"/>
          <w:sz w:val="30"/>
          <w:szCs w:val="24"/>
        </w:rPr>
        <w:t>支出绩效评价指标体系(详见</w:t>
      </w:r>
      <w:r>
        <w:rPr>
          <w:rFonts w:ascii="Times New Roman" w:hAnsi="Times New Roman" w:cs="Times New Roman"/>
          <w:sz w:val="30"/>
          <w:szCs w:val="24"/>
        </w:rPr>
        <w:t>附件</w:t>
      </w:r>
      <w:r>
        <w:rPr>
          <w:rFonts w:hint="eastAsia" w:ascii="Times New Roman" w:hAnsi="Times New Roman" w:cs="Times New Roman"/>
          <w:sz w:val="30"/>
          <w:szCs w:val="24"/>
        </w:rPr>
        <w:t>3)：</w:t>
      </w:r>
      <w:bookmarkStart w:id="13" w:name="_Hlk67586038"/>
    </w:p>
    <w:p w14:paraId="149D701B">
      <w:pPr>
        <w:spacing w:line="560" w:lineRule="exact"/>
        <w:ind w:firstLine="560"/>
        <w:rPr>
          <w:rFonts w:ascii="Times New Roman" w:hAnsi="Times New Roman" w:cs="Times New Roman"/>
          <w:sz w:val="30"/>
          <w:szCs w:val="24"/>
        </w:rPr>
      </w:pPr>
      <w:r>
        <w:rPr>
          <w:rFonts w:ascii="仿宋_GB2312"/>
          <w:b/>
          <w:bCs/>
        </w:rPr>
        <w:t>3.</w:t>
      </w:r>
      <w:r>
        <w:rPr>
          <w:rFonts w:hint="eastAsia" w:ascii="仿宋_GB2312"/>
          <w:b/>
          <w:bCs/>
        </w:rPr>
        <w:t>评价方法</w:t>
      </w:r>
    </w:p>
    <w:bookmarkEnd w:id="13"/>
    <w:p w14:paraId="0AF96305">
      <w:pPr>
        <w:pStyle w:val="7"/>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按照《项目支出绩效评价管理办法》（财预〔2020〕10号）规定的具体评价方法和流程，评价小组运用定量和定性分析相结合的方法，综合运用比较法、因素分析法、成本效益法、公众评判等方法进行项目实施的绩效评价。</w:t>
      </w:r>
    </w:p>
    <w:p w14:paraId="39B801E2">
      <w:pPr>
        <w:spacing w:line="360" w:lineRule="auto"/>
        <w:ind w:firstLine="560"/>
        <w:rPr>
          <w:rFonts w:ascii="仿宋_GB2312"/>
          <w:b/>
          <w:bCs/>
        </w:rPr>
      </w:pPr>
      <w:r>
        <w:rPr>
          <w:rFonts w:ascii="仿宋_GB2312"/>
          <w:b/>
          <w:bCs/>
        </w:rPr>
        <w:t>4.</w:t>
      </w:r>
      <w:r>
        <w:rPr>
          <w:rFonts w:hint="eastAsia" w:ascii="仿宋_GB2312"/>
          <w:b/>
          <w:bCs/>
        </w:rPr>
        <w:t>评价标准</w:t>
      </w:r>
    </w:p>
    <w:p w14:paraId="363AC909">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5F0C103E">
      <w:pPr>
        <w:spacing w:line="360" w:lineRule="auto"/>
        <w:ind w:firstLine="560"/>
        <w:rPr>
          <w:rFonts w:ascii="仿宋_GB2312"/>
        </w:rPr>
      </w:pPr>
      <w:r>
        <w:rPr>
          <w:rFonts w:hint="eastAsia" w:ascii="仿宋_GB2312"/>
        </w:rPr>
        <w:t>（1）计划标准。指以预先制定的目标、计划、预算、定额等作为评价标准。</w:t>
      </w:r>
    </w:p>
    <w:p w14:paraId="2DFAA10F">
      <w:pPr>
        <w:spacing w:line="360" w:lineRule="auto"/>
        <w:ind w:firstLine="560"/>
        <w:rPr>
          <w:rFonts w:ascii="仿宋_GB2312"/>
        </w:rPr>
      </w:pPr>
      <w:r>
        <w:rPr>
          <w:rFonts w:hint="eastAsia" w:ascii="仿宋_GB2312"/>
        </w:rPr>
        <w:t>（2）行业标准。指参照国家公布的行业指标数据制定的评价标准。</w:t>
      </w:r>
    </w:p>
    <w:p w14:paraId="793536B3">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51BD90A7">
      <w:pPr>
        <w:spacing w:line="360" w:lineRule="auto"/>
        <w:ind w:firstLine="560"/>
        <w:rPr>
          <w:rFonts w:ascii="仿宋_GB2312"/>
        </w:rPr>
      </w:pPr>
      <w:r>
        <w:rPr>
          <w:rFonts w:hint="eastAsia" w:ascii="仿宋_GB2312"/>
        </w:rPr>
        <w:t>在上述评价标准的基础上，本次评价依据以下文件为重要指导和准绳：</w:t>
      </w:r>
    </w:p>
    <w:p w14:paraId="085F69BD">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3E023427">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35EAF3C2">
      <w:pPr>
        <w:spacing w:line="360" w:lineRule="auto"/>
        <w:ind w:firstLine="560"/>
        <w:rPr>
          <w:rFonts w:ascii="仿宋_GB2312"/>
        </w:rPr>
      </w:pPr>
      <w:r>
        <w:rPr>
          <w:rFonts w:hint="eastAsia" w:ascii="黑体" w:hAnsi="黑体" w:eastAsia="黑体" w:cs="Times New Roman"/>
          <w:szCs w:val="28"/>
        </w:rPr>
        <w:t>·</w:t>
      </w:r>
      <w:r>
        <w:rPr>
          <w:rFonts w:hint="eastAsia" w:ascii="仿宋_GB2312"/>
        </w:rPr>
        <w:t>《自治区党委自治区人民政府关于全面实施预算绩效管理的实施意见》（新党发〔2018〕30号）；</w:t>
      </w:r>
    </w:p>
    <w:p w14:paraId="772C45E3">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《202</w:t>
      </w:r>
      <w:r>
        <w:rPr>
          <w:rFonts w:ascii="仿宋_GB2312"/>
        </w:rPr>
        <w:t>3</w:t>
      </w:r>
      <w:r>
        <w:rPr>
          <w:rFonts w:hint="eastAsia" w:ascii="仿宋_GB2312"/>
        </w:rPr>
        <w:t>年度推进塔城地区全面实施预算绩效管理工作规划》。</w:t>
      </w:r>
    </w:p>
    <w:p w14:paraId="7722C906">
      <w:pPr>
        <w:spacing w:line="360" w:lineRule="auto"/>
        <w:ind w:firstLine="560"/>
        <w:outlineLvl w:val="1"/>
        <w:rPr>
          <w:rFonts w:ascii="仿宋_GB2312"/>
          <w:b/>
          <w:bCs/>
        </w:rPr>
      </w:pPr>
      <w:bookmarkStart w:id="14" w:name="_Toc67911607"/>
      <w:bookmarkStart w:id="15" w:name="_Toc12695"/>
      <w:r>
        <w:rPr>
          <w:rFonts w:hint="eastAsia" w:ascii="仿宋_GB2312"/>
          <w:b/>
          <w:bCs/>
        </w:rPr>
        <w:t>（三）绩效评价工作过程</w:t>
      </w:r>
      <w:bookmarkEnd w:id="14"/>
      <w:bookmarkEnd w:id="15"/>
    </w:p>
    <w:p w14:paraId="15336049">
      <w:pPr>
        <w:spacing w:line="360" w:lineRule="auto"/>
        <w:ind w:firstLine="560"/>
        <w:rPr>
          <w:rFonts w:ascii="仿宋_GB2312"/>
        </w:rPr>
      </w:pPr>
      <w:r>
        <w:rPr>
          <w:rFonts w:hint="eastAsia" w:ascii="仿宋_GB231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0376D265">
      <w:pPr>
        <w:ind w:firstLine="640"/>
        <w:rPr>
          <w:rFonts w:ascii="仿宋_GB2312"/>
          <w:b/>
          <w:bCs/>
          <w:sz w:val="32"/>
          <w:szCs w:val="32"/>
        </w:rPr>
      </w:pPr>
      <w:bookmarkStart w:id="16" w:name="_Toc67911608"/>
      <w:bookmarkStart w:id="17" w:name="_Toc28860"/>
      <w:r>
        <w:rPr>
          <w:rFonts w:hint="eastAsia" w:ascii="仿宋_GB2312"/>
          <w:b/>
          <w:bCs/>
          <w:sz w:val="32"/>
          <w:szCs w:val="32"/>
        </w:rPr>
        <w:t>三、综合评价情况及评价结论</w:t>
      </w:r>
      <w:bookmarkEnd w:id="16"/>
      <w:bookmarkEnd w:id="17"/>
    </w:p>
    <w:p w14:paraId="5D615094">
      <w:pPr>
        <w:spacing w:line="360" w:lineRule="auto"/>
        <w:ind w:firstLine="560"/>
        <w:outlineLvl w:val="1"/>
        <w:rPr>
          <w:rFonts w:ascii="仿宋_GB2312"/>
          <w:b/>
          <w:bCs/>
          <w:szCs w:val="28"/>
        </w:rPr>
      </w:pPr>
      <w:bookmarkStart w:id="18" w:name="_Toc67911609"/>
      <w:bookmarkStart w:id="19" w:name="_Toc14030"/>
      <w:r>
        <w:rPr>
          <w:rFonts w:hint="eastAsia" w:ascii="仿宋_GB2312"/>
          <w:b/>
          <w:bCs/>
          <w:szCs w:val="28"/>
        </w:rPr>
        <w:t>（一）评价结论</w:t>
      </w:r>
      <w:bookmarkEnd w:id="18"/>
      <w:bookmarkEnd w:id="19"/>
    </w:p>
    <w:p w14:paraId="0E735EF9">
      <w:pPr>
        <w:ind w:firstLine="560"/>
        <w:rPr>
          <w:rFonts w:hint="eastAsia" w:ascii="仿宋_GB2312"/>
          <w:b/>
          <w:bCs/>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w:t>
      </w:r>
      <w:r>
        <w:rPr>
          <w:rFonts w:hint="eastAsia" w:ascii="仿宋_GB2312"/>
          <w:szCs w:val="28"/>
        </w:rPr>
        <w:t>22年额敏县热力站建设及管网铺设工程项目进行客观评价</w:t>
      </w:r>
      <w:bookmarkStart w:id="20" w:name="_Toc23106"/>
      <w:bookmarkStart w:id="21" w:name="_Toc67911610"/>
      <w:r>
        <w:rPr>
          <w:rFonts w:hint="eastAsia" w:ascii="仿宋_GB2312"/>
          <w:szCs w:val="28"/>
        </w:rPr>
        <w:t>。</w:t>
      </w:r>
    </w:p>
    <w:bookmarkEnd w:id="20"/>
    <w:bookmarkEnd w:id="21"/>
    <w:p w14:paraId="7F4ED605">
      <w:pPr>
        <w:spacing w:line="360" w:lineRule="auto"/>
        <w:ind w:firstLine="0" w:firstLineChars="0"/>
        <w:outlineLvl w:val="0"/>
        <w:rPr>
          <w:rFonts w:ascii="仿宋_GB2312"/>
          <w:b/>
          <w:bCs/>
          <w:sz w:val="32"/>
          <w:szCs w:val="32"/>
        </w:rPr>
      </w:pPr>
      <w:bookmarkStart w:id="22" w:name="_Toc20059"/>
      <w:bookmarkStart w:id="23" w:name="_Toc67911611"/>
      <w:r>
        <w:rPr>
          <w:rFonts w:hint="eastAsia" w:ascii="仿宋_GB2312"/>
          <w:b/>
          <w:bCs/>
          <w:sz w:val="32"/>
          <w:szCs w:val="32"/>
        </w:rPr>
        <w:t>四、绩效评价指标分析</w:t>
      </w:r>
      <w:bookmarkEnd w:id="22"/>
      <w:bookmarkEnd w:id="23"/>
    </w:p>
    <w:p w14:paraId="27E46E59">
      <w:pPr>
        <w:spacing w:line="360" w:lineRule="auto"/>
        <w:ind w:firstLine="560"/>
        <w:outlineLvl w:val="1"/>
        <w:rPr>
          <w:rFonts w:ascii="仿宋_GB2312"/>
          <w:szCs w:val="28"/>
        </w:rPr>
      </w:pPr>
      <w:bookmarkStart w:id="24" w:name="_Toc22626"/>
      <w:bookmarkStart w:id="25" w:name="_Toc67911612"/>
      <w:r>
        <w:rPr>
          <w:rFonts w:hint="eastAsia" w:ascii="仿宋_GB2312"/>
          <w:b/>
          <w:bCs/>
          <w:szCs w:val="28"/>
        </w:rPr>
        <w:t>（一）项目决策情况</w:t>
      </w:r>
      <w:bookmarkEnd w:id="24"/>
      <w:bookmarkEnd w:id="25"/>
    </w:p>
    <w:p w14:paraId="0D9FA9FB">
      <w:pPr>
        <w:spacing w:line="360" w:lineRule="auto"/>
        <w:ind w:firstLine="560"/>
        <w:rPr>
          <w:rFonts w:hint="eastAsia" w:ascii="仿宋_GB2312"/>
          <w:b/>
          <w:bCs/>
          <w:szCs w:val="28"/>
        </w:rPr>
      </w:pPr>
      <w:r>
        <w:rPr>
          <w:rFonts w:ascii="仿宋_GB2312"/>
          <w:b/>
          <w:bCs/>
          <w:szCs w:val="28"/>
        </w:rPr>
        <w:t>1.</w:t>
      </w:r>
      <w:r>
        <w:rPr>
          <w:rFonts w:hint="eastAsia" w:ascii="仿宋_GB2312"/>
          <w:b/>
          <w:bCs/>
          <w:szCs w:val="28"/>
        </w:rPr>
        <w:t>立项依据充分性：项目立项符合国家法律法规、国民经济发展规划和相关政策</w:t>
      </w:r>
      <w:r>
        <w:rPr>
          <w:rFonts w:ascii="仿宋_GB2312"/>
          <w:b/>
          <w:bCs/>
          <w:szCs w:val="28"/>
        </w:rPr>
        <w:t>,</w:t>
      </w:r>
      <w:r>
        <w:rPr>
          <w:rFonts w:hint="eastAsia" w:ascii="仿宋_GB2312"/>
          <w:b/>
          <w:bCs/>
          <w:szCs w:val="28"/>
        </w:rPr>
        <w:t>项目立项符合行业发展规划和政策要求</w:t>
      </w:r>
      <w:r>
        <w:rPr>
          <w:rFonts w:ascii="仿宋_GB2312"/>
          <w:b/>
          <w:bCs/>
          <w:szCs w:val="28"/>
        </w:rPr>
        <w:t>,</w:t>
      </w:r>
      <w:r>
        <w:rPr>
          <w:rFonts w:hint="eastAsia" w:ascii="仿宋_GB2312"/>
          <w:b/>
          <w:bCs/>
          <w:szCs w:val="28"/>
        </w:rPr>
        <w:t>项目立项与部门职责范围相符，属于部门履职所需</w:t>
      </w:r>
      <w:r>
        <w:rPr>
          <w:rFonts w:ascii="仿宋_GB2312"/>
          <w:b/>
          <w:bCs/>
          <w:szCs w:val="28"/>
        </w:rPr>
        <w:t>,</w:t>
      </w:r>
      <w:r>
        <w:rPr>
          <w:rFonts w:hint="eastAsia" w:ascii="仿宋_GB2312"/>
          <w:b/>
          <w:bCs/>
          <w:szCs w:val="28"/>
        </w:rPr>
        <w:t>项目属于公共财政支持范围，符合中央、地方事权支出责任划分原则</w:t>
      </w:r>
      <w:r>
        <w:rPr>
          <w:rFonts w:ascii="仿宋_GB2312"/>
          <w:b/>
          <w:bCs/>
          <w:szCs w:val="28"/>
        </w:rPr>
        <w:t>,</w:t>
      </w:r>
      <w:r>
        <w:rPr>
          <w:rFonts w:hint="eastAsia" w:ascii="仿宋_GB2312"/>
          <w:b/>
          <w:bCs/>
          <w:szCs w:val="28"/>
        </w:rPr>
        <w:t>项目与相关部门同类项目或部门内部相关项目重复。</w:t>
      </w:r>
    </w:p>
    <w:p w14:paraId="2A00DFDB">
      <w:pPr>
        <w:spacing w:line="360" w:lineRule="auto"/>
        <w:ind w:firstLine="560"/>
        <w:rPr>
          <w:rFonts w:hint="eastAsia" w:ascii="仿宋_GB2312"/>
          <w:b/>
          <w:bCs/>
          <w:szCs w:val="28"/>
        </w:rPr>
      </w:pPr>
      <w:r>
        <w:rPr>
          <w:rFonts w:hint="eastAsia" w:ascii="仿宋_GB2312"/>
          <w:b/>
          <w:bCs/>
          <w:szCs w:val="28"/>
        </w:rPr>
        <w:t>2.立项程序规范性</w:t>
      </w:r>
      <w:r>
        <w:rPr>
          <w:rFonts w:ascii="仿宋_GB2312"/>
          <w:b/>
          <w:bCs/>
          <w:szCs w:val="28"/>
        </w:rPr>
        <w:t>:</w:t>
      </w:r>
      <w:r>
        <w:rPr>
          <w:rFonts w:hint="eastAsia" w:ascii="仿宋_GB2312"/>
          <w:b/>
          <w:bCs/>
          <w:szCs w:val="28"/>
        </w:rPr>
        <w:t>项目按照规定的程序申请设立</w:t>
      </w:r>
      <w:r>
        <w:rPr>
          <w:rFonts w:ascii="仿宋_GB2312"/>
          <w:b/>
          <w:bCs/>
          <w:szCs w:val="28"/>
        </w:rPr>
        <w:t>,</w:t>
      </w:r>
      <w:r>
        <w:rPr>
          <w:rFonts w:hint="eastAsia" w:ascii="仿宋_GB2312"/>
          <w:b/>
          <w:bCs/>
          <w:szCs w:val="28"/>
        </w:rPr>
        <w:t>审批文件、材料符合相关要求</w:t>
      </w:r>
      <w:r>
        <w:rPr>
          <w:rFonts w:ascii="仿宋_GB2312"/>
          <w:b/>
          <w:bCs/>
          <w:szCs w:val="28"/>
        </w:rPr>
        <w:t>,</w:t>
      </w:r>
      <w:r>
        <w:rPr>
          <w:rFonts w:hint="eastAsia" w:ascii="仿宋_GB2312"/>
          <w:b/>
          <w:bCs/>
          <w:szCs w:val="28"/>
        </w:rPr>
        <w:t>事前已经过必要的可行性研究、专家论证、风险评估、绩效评估、集体决策。</w:t>
      </w:r>
    </w:p>
    <w:p w14:paraId="48583A98">
      <w:pPr>
        <w:spacing w:line="360" w:lineRule="auto"/>
        <w:ind w:firstLine="560"/>
        <w:rPr>
          <w:rFonts w:hint="eastAsia" w:ascii="仿宋_GB2312"/>
          <w:b/>
          <w:bCs/>
          <w:szCs w:val="28"/>
        </w:rPr>
      </w:pPr>
      <w:r>
        <w:rPr>
          <w:rFonts w:hint="eastAsia" w:ascii="仿宋_GB2312"/>
          <w:b/>
          <w:bCs/>
          <w:szCs w:val="28"/>
        </w:rPr>
        <w:t>3.绩效目标合理性</w:t>
      </w:r>
      <w:r>
        <w:rPr>
          <w:rFonts w:ascii="仿宋_GB2312"/>
          <w:b/>
          <w:bCs/>
          <w:szCs w:val="28"/>
        </w:rPr>
        <w:t>:</w:t>
      </w:r>
      <w:r>
        <w:rPr>
          <w:rFonts w:hint="eastAsia" w:ascii="仿宋_GB2312"/>
          <w:b/>
          <w:bCs/>
          <w:szCs w:val="28"/>
        </w:rPr>
        <w:t>项目有绩效目标</w:t>
      </w:r>
      <w:r>
        <w:rPr>
          <w:rFonts w:ascii="仿宋_GB2312"/>
          <w:b/>
          <w:bCs/>
          <w:szCs w:val="28"/>
        </w:rPr>
        <w:t>,</w:t>
      </w:r>
      <w:r>
        <w:rPr>
          <w:rFonts w:hint="eastAsia" w:ascii="仿宋_GB2312"/>
          <w:b/>
          <w:bCs/>
          <w:szCs w:val="28"/>
        </w:rPr>
        <w:t>项目绩效目标与实际工作内容具有相关性</w:t>
      </w:r>
      <w:r>
        <w:rPr>
          <w:rFonts w:ascii="仿宋_GB2312"/>
          <w:b/>
          <w:bCs/>
          <w:szCs w:val="28"/>
        </w:rPr>
        <w:t>,</w:t>
      </w:r>
      <w:r>
        <w:rPr>
          <w:rFonts w:hint="eastAsia" w:ascii="仿宋_GB2312"/>
          <w:b/>
          <w:bCs/>
          <w:szCs w:val="28"/>
        </w:rPr>
        <w:t>项目预期产出效益和效果符合正常的业绩水平</w:t>
      </w:r>
      <w:r>
        <w:rPr>
          <w:rFonts w:ascii="仿宋_GB2312"/>
          <w:b/>
          <w:bCs/>
          <w:szCs w:val="28"/>
        </w:rPr>
        <w:t>,</w:t>
      </w:r>
      <w:r>
        <w:rPr>
          <w:rFonts w:hint="eastAsia" w:ascii="仿宋_GB2312"/>
          <w:b/>
          <w:bCs/>
          <w:szCs w:val="28"/>
        </w:rPr>
        <w:t>与预算确定的项目投资额或资金量相匹配。</w:t>
      </w:r>
    </w:p>
    <w:p w14:paraId="5298E6FB">
      <w:pPr>
        <w:spacing w:line="360" w:lineRule="auto"/>
        <w:ind w:firstLine="560"/>
        <w:rPr>
          <w:rFonts w:hint="eastAsia" w:ascii="仿宋_GB2312"/>
          <w:b/>
          <w:bCs/>
          <w:szCs w:val="28"/>
        </w:rPr>
      </w:pPr>
      <w:r>
        <w:rPr>
          <w:rFonts w:hint="eastAsia" w:ascii="仿宋_GB2312"/>
          <w:b/>
          <w:bCs/>
          <w:szCs w:val="28"/>
        </w:rPr>
        <w:t>4.绩效指标明确性</w:t>
      </w:r>
      <w:r>
        <w:rPr>
          <w:rFonts w:ascii="仿宋_GB2312"/>
          <w:b/>
          <w:bCs/>
          <w:szCs w:val="28"/>
        </w:rPr>
        <w:t>:</w:t>
      </w:r>
      <w:r>
        <w:rPr>
          <w:rFonts w:hint="eastAsia" w:ascii="仿宋_GB2312"/>
          <w:b/>
          <w:bCs/>
          <w:szCs w:val="28"/>
        </w:rPr>
        <w:t>将项目绩效目标细化分解为具体的绩效指标</w:t>
      </w:r>
      <w:r>
        <w:rPr>
          <w:rFonts w:ascii="仿宋_GB2312"/>
          <w:b/>
          <w:bCs/>
          <w:szCs w:val="28"/>
        </w:rPr>
        <w:t>,</w:t>
      </w:r>
      <w:r>
        <w:rPr>
          <w:rFonts w:hint="eastAsia" w:ascii="仿宋_GB2312"/>
          <w:b/>
          <w:bCs/>
          <w:szCs w:val="28"/>
        </w:rPr>
        <w:t>通过清晰、可衡量的指标值予以体现</w:t>
      </w:r>
      <w:r>
        <w:rPr>
          <w:rFonts w:ascii="仿宋_GB2312"/>
          <w:b/>
          <w:bCs/>
          <w:szCs w:val="28"/>
        </w:rPr>
        <w:t>,</w:t>
      </w:r>
      <w:r>
        <w:rPr>
          <w:rFonts w:hint="eastAsia" w:ascii="仿宋_GB2312"/>
          <w:b/>
          <w:bCs/>
          <w:szCs w:val="28"/>
        </w:rPr>
        <w:t>与项目目标任务数或计划数相对应。</w:t>
      </w:r>
    </w:p>
    <w:p w14:paraId="3992C1D9">
      <w:pPr>
        <w:spacing w:line="360" w:lineRule="auto"/>
        <w:ind w:firstLine="560"/>
        <w:rPr>
          <w:rFonts w:hint="eastAsia" w:ascii="仿宋_GB2312"/>
          <w:b/>
          <w:bCs/>
          <w:szCs w:val="28"/>
        </w:rPr>
      </w:pPr>
      <w:r>
        <w:rPr>
          <w:rFonts w:hint="eastAsia" w:ascii="仿宋_GB2312"/>
          <w:b/>
          <w:bCs/>
          <w:szCs w:val="28"/>
        </w:rPr>
        <w:t>5.预算编制科学性</w:t>
      </w:r>
      <w:r>
        <w:rPr>
          <w:rFonts w:ascii="仿宋_GB2312"/>
          <w:b/>
          <w:bCs/>
          <w:szCs w:val="28"/>
        </w:rPr>
        <w:t>:</w:t>
      </w:r>
      <w:r>
        <w:rPr>
          <w:rFonts w:hint="eastAsia" w:ascii="仿宋_GB2312"/>
          <w:b/>
          <w:bCs/>
          <w:szCs w:val="28"/>
        </w:rPr>
        <w:t>预算编制经过科学论证</w:t>
      </w:r>
      <w:r>
        <w:rPr>
          <w:rFonts w:ascii="仿宋_GB2312"/>
          <w:b/>
          <w:bCs/>
          <w:szCs w:val="28"/>
        </w:rPr>
        <w:t>,</w:t>
      </w:r>
      <w:r>
        <w:rPr>
          <w:rFonts w:hint="eastAsia" w:ascii="仿宋_GB2312"/>
          <w:b/>
          <w:bCs/>
          <w:szCs w:val="28"/>
        </w:rPr>
        <w:t>预算内容与项目内容匹配</w:t>
      </w:r>
      <w:r>
        <w:rPr>
          <w:rFonts w:ascii="仿宋_GB2312"/>
          <w:b/>
          <w:bCs/>
          <w:szCs w:val="28"/>
        </w:rPr>
        <w:t>,</w:t>
      </w:r>
      <w:r>
        <w:rPr>
          <w:rFonts w:hint="eastAsia" w:ascii="仿宋_GB2312"/>
          <w:b/>
          <w:bCs/>
          <w:szCs w:val="28"/>
        </w:rPr>
        <w:t>预算额度测算依据充分，按照标准编制</w:t>
      </w:r>
      <w:r>
        <w:rPr>
          <w:rFonts w:ascii="仿宋_GB2312"/>
          <w:b/>
          <w:bCs/>
          <w:szCs w:val="28"/>
        </w:rPr>
        <w:t>,</w:t>
      </w:r>
      <w:r>
        <w:rPr>
          <w:rFonts w:hint="eastAsia" w:ascii="仿宋_GB2312"/>
          <w:b/>
          <w:bCs/>
          <w:szCs w:val="28"/>
        </w:rPr>
        <w:t>预算确定的项目投资额或资金量与工作任务相匹配。</w:t>
      </w:r>
    </w:p>
    <w:p w14:paraId="7F471A31">
      <w:pPr>
        <w:spacing w:line="360" w:lineRule="auto"/>
        <w:ind w:firstLine="560"/>
        <w:rPr>
          <w:rFonts w:hint="eastAsia" w:ascii="仿宋_GB2312"/>
          <w:b/>
          <w:bCs/>
          <w:szCs w:val="28"/>
        </w:rPr>
      </w:pPr>
      <w:r>
        <w:rPr>
          <w:rFonts w:hint="eastAsia" w:ascii="仿宋_GB2312"/>
          <w:b/>
          <w:bCs/>
          <w:szCs w:val="28"/>
        </w:rPr>
        <w:t>6.资金分配合理性</w:t>
      </w:r>
      <w:r>
        <w:rPr>
          <w:rFonts w:ascii="仿宋_GB2312"/>
          <w:b/>
          <w:bCs/>
          <w:szCs w:val="28"/>
        </w:rPr>
        <w:t>:</w:t>
      </w:r>
      <w:r>
        <w:rPr>
          <w:rFonts w:hint="eastAsia" w:ascii="仿宋_GB2312"/>
          <w:b/>
          <w:bCs/>
          <w:szCs w:val="28"/>
        </w:rPr>
        <w:t>预算资金分配依据充分</w:t>
      </w:r>
      <w:r>
        <w:rPr>
          <w:rFonts w:ascii="仿宋_GB2312"/>
          <w:b/>
          <w:bCs/>
          <w:szCs w:val="28"/>
        </w:rPr>
        <w:t>,</w:t>
      </w:r>
      <w:r>
        <w:rPr>
          <w:rFonts w:hint="eastAsia" w:ascii="仿宋_GB2312"/>
          <w:b/>
          <w:bCs/>
          <w:szCs w:val="28"/>
        </w:rPr>
        <w:t>资金分配额度合理，与项目单位或地方实际相适应。</w:t>
      </w:r>
    </w:p>
    <w:p w14:paraId="758C9850">
      <w:pPr>
        <w:spacing w:line="360" w:lineRule="auto"/>
        <w:ind w:firstLine="560"/>
        <w:outlineLvl w:val="1"/>
        <w:rPr>
          <w:rFonts w:ascii="仿宋_GB2312"/>
          <w:b/>
          <w:bCs/>
          <w:szCs w:val="28"/>
        </w:rPr>
      </w:pPr>
      <w:bookmarkStart w:id="26" w:name="_Toc16968"/>
      <w:bookmarkStart w:id="27" w:name="_Toc67911613"/>
      <w:r>
        <w:rPr>
          <w:rFonts w:hint="eastAsia" w:ascii="仿宋_GB2312"/>
          <w:b/>
          <w:bCs/>
          <w:szCs w:val="28"/>
        </w:rPr>
        <w:t>（二）项目过程情况</w:t>
      </w:r>
      <w:bookmarkEnd w:id="26"/>
      <w:bookmarkEnd w:id="27"/>
    </w:p>
    <w:p w14:paraId="004E335B">
      <w:pPr>
        <w:spacing w:line="360" w:lineRule="auto"/>
        <w:ind w:firstLine="560"/>
        <w:rPr>
          <w:rFonts w:ascii="仿宋_GB2312"/>
          <w:color w:val="auto"/>
          <w:szCs w:val="28"/>
        </w:rPr>
      </w:pPr>
      <w:r>
        <w:rPr>
          <w:rFonts w:ascii="仿宋_GB2312"/>
          <w:b/>
          <w:bCs/>
          <w:color w:val="auto"/>
          <w:szCs w:val="28"/>
        </w:rPr>
        <w:t>1.</w:t>
      </w:r>
      <w:r>
        <w:rPr>
          <w:rFonts w:hint="eastAsia" w:ascii="仿宋_GB2312"/>
          <w:b/>
          <w:bCs/>
          <w:color w:val="auto"/>
          <w:szCs w:val="28"/>
        </w:rPr>
        <w:t>资金到位率：</w:t>
      </w:r>
      <w:r>
        <w:rPr>
          <w:color w:val="auto"/>
        </w:rPr>
        <w:t xml:space="preserve"> </w:t>
      </w:r>
      <w:r>
        <w:rPr>
          <w:rFonts w:hint="eastAsia"/>
          <w:color w:val="auto"/>
        </w:rPr>
        <w:t>实际到位资金</w:t>
      </w:r>
      <w:r>
        <w:rPr>
          <w:rFonts w:hint="eastAsia"/>
          <w:color w:val="auto"/>
          <w:lang w:val="en-US" w:eastAsia="zh-CN"/>
        </w:rPr>
        <w:t>1000</w:t>
      </w:r>
      <w:r>
        <w:rPr>
          <w:rFonts w:hint="eastAsia"/>
          <w:color w:val="auto"/>
        </w:rPr>
        <w:t>万元，预算资金</w:t>
      </w:r>
      <w:r>
        <w:rPr>
          <w:rFonts w:hint="eastAsia"/>
          <w:color w:val="auto"/>
          <w:lang w:val="en-US" w:eastAsia="zh-CN"/>
        </w:rPr>
        <w:t>1000</w:t>
      </w:r>
      <w:r>
        <w:rPr>
          <w:rFonts w:hint="eastAsia"/>
          <w:color w:val="auto"/>
        </w:rPr>
        <w:t>万元，资金到位率100%。</w:t>
      </w:r>
    </w:p>
    <w:p w14:paraId="35113285">
      <w:pPr>
        <w:spacing w:line="360" w:lineRule="auto"/>
        <w:ind w:firstLine="560"/>
        <w:rPr>
          <w:rFonts w:ascii="仿宋_GB2312"/>
          <w:color w:val="auto"/>
          <w:szCs w:val="28"/>
        </w:rPr>
      </w:pPr>
      <w:r>
        <w:rPr>
          <w:rFonts w:hint="eastAsia" w:ascii="仿宋_GB2312"/>
          <w:b/>
          <w:bCs/>
          <w:color w:val="auto"/>
          <w:szCs w:val="28"/>
        </w:rPr>
        <w:t>2.预算执行率：</w:t>
      </w:r>
      <w:r>
        <w:rPr>
          <w:rFonts w:hint="eastAsia"/>
          <w:color w:val="auto"/>
        </w:rPr>
        <w:t>年初预算数</w:t>
      </w:r>
      <w:r>
        <w:rPr>
          <w:rFonts w:hint="eastAsia"/>
          <w:color w:val="auto"/>
          <w:lang w:val="en-US" w:eastAsia="zh-CN"/>
        </w:rPr>
        <w:t>1000</w:t>
      </w:r>
      <w:r>
        <w:rPr>
          <w:rFonts w:hint="eastAsia"/>
          <w:color w:val="auto"/>
        </w:rPr>
        <w:t>万元，全年预算数</w:t>
      </w:r>
      <w:r>
        <w:rPr>
          <w:rFonts w:hint="eastAsia"/>
          <w:color w:val="auto"/>
          <w:lang w:val="en-US" w:eastAsia="zh-CN"/>
        </w:rPr>
        <w:t>1000</w:t>
      </w:r>
      <w:r>
        <w:rPr>
          <w:rFonts w:hint="eastAsia"/>
          <w:color w:val="auto"/>
        </w:rPr>
        <w:t>万元，全年执行数</w:t>
      </w:r>
      <w:r>
        <w:rPr>
          <w:rFonts w:hint="eastAsia"/>
          <w:color w:val="auto"/>
          <w:lang w:val="en-US" w:eastAsia="zh-CN"/>
        </w:rPr>
        <w:t>1000</w:t>
      </w:r>
      <w:r>
        <w:rPr>
          <w:rFonts w:hint="eastAsia"/>
          <w:color w:val="auto"/>
        </w:rPr>
        <w:t>万元，预算执行率为</w:t>
      </w:r>
      <w:r>
        <w:rPr>
          <w:rFonts w:hint="eastAsia"/>
          <w:color w:val="auto"/>
          <w:lang w:val="en-US" w:eastAsia="zh-CN"/>
        </w:rPr>
        <w:t>100</w:t>
      </w:r>
      <w:r>
        <w:rPr>
          <w:rFonts w:hint="eastAsia"/>
          <w:color w:val="auto"/>
        </w:rPr>
        <w:t>%。</w:t>
      </w:r>
    </w:p>
    <w:p w14:paraId="1520F01A">
      <w:pPr>
        <w:spacing w:line="360" w:lineRule="auto"/>
        <w:ind w:firstLine="560"/>
        <w:rPr>
          <w:rFonts w:ascii="仿宋_GB2312"/>
          <w:szCs w:val="28"/>
        </w:rPr>
      </w:pPr>
      <w:r>
        <w:rPr>
          <w:rFonts w:hint="eastAsia" w:ascii="仿宋_GB2312"/>
          <w:b/>
          <w:bCs/>
          <w:szCs w:val="28"/>
        </w:rPr>
        <w:t>3.资金使用合规性：</w:t>
      </w:r>
      <w:r>
        <w:rPr>
          <w:rFonts w:hint="eastAsia" w:ascii="仿宋_GB2312"/>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14:paraId="02187ED9">
      <w:pPr>
        <w:spacing w:line="360" w:lineRule="auto"/>
        <w:ind w:firstLine="560"/>
        <w:rPr>
          <w:rFonts w:ascii="仿宋_GB2312"/>
          <w:szCs w:val="28"/>
        </w:rPr>
      </w:pPr>
      <w:r>
        <w:rPr>
          <w:rFonts w:hint="eastAsia" w:ascii="仿宋_GB2312"/>
          <w:b/>
          <w:bCs/>
          <w:szCs w:val="28"/>
          <w:lang w:val="en-US" w:eastAsia="zh-CN"/>
        </w:rPr>
        <w:t>4</w:t>
      </w:r>
      <w:r>
        <w:rPr>
          <w:rFonts w:hint="eastAsia" w:ascii="仿宋_GB2312"/>
          <w:b/>
          <w:bCs/>
          <w:szCs w:val="28"/>
        </w:rPr>
        <w:t>.管理制度健全性：</w:t>
      </w:r>
      <w:r>
        <w:rPr>
          <w:rFonts w:hint="eastAsia" w:ascii="仿宋_GB2312" w:hAnsi="Times New Roman" w:cs="Times New Roman"/>
          <w:kern w:val="0"/>
          <w:sz w:val="32"/>
          <w:szCs w:val="32"/>
          <w:lang w:val="en-US" w:eastAsia="zh-CN" w:bidi="en-US"/>
        </w:rPr>
        <w:t>额敏县住房和城乡建设局</w:t>
      </w:r>
      <w:r>
        <w:rPr>
          <w:rFonts w:hint="eastAsia" w:ascii="仿宋_GB2312"/>
          <w:szCs w:val="28"/>
        </w:rPr>
        <w:t>已制定相应的财务和业务管理制度，且制度合法、合规、完整，为项目顺利实施提供重要保障。</w:t>
      </w:r>
    </w:p>
    <w:p w14:paraId="6F47F410">
      <w:pPr>
        <w:autoSpaceDE w:val="0"/>
        <w:spacing w:line="600" w:lineRule="exact"/>
        <w:ind w:firstLine="560"/>
        <w:rPr>
          <w:rFonts w:ascii="仿宋_GB2312" w:hAnsi="仿宋" w:cs="宋体"/>
          <w:b/>
          <w:kern w:val="0"/>
          <w:szCs w:val="28"/>
        </w:rPr>
      </w:pPr>
      <w:r>
        <w:rPr>
          <w:rFonts w:hint="eastAsia" w:ascii="仿宋_GB2312"/>
          <w:b/>
          <w:bCs/>
          <w:szCs w:val="28"/>
          <w:lang w:val="en-US" w:eastAsia="zh-CN"/>
        </w:rPr>
        <w:t>5</w:t>
      </w:r>
      <w:r>
        <w:rPr>
          <w:rFonts w:hint="eastAsia" w:ascii="仿宋_GB2312"/>
          <w:b/>
          <w:bCs/>
          <w:szCs w:val="28"/>
        </w:rPr>
        <w:t>.制度执行有效性：</w:t>
      </w:r>
      <w:r>
        <w:rPr>
          <w:rFonts w:hint="eastAsia" w:ascii="仿宋_GB2312"/>
          <w:szCs w:val="28"/>
        </w:rPr>
        <w:t>根据现场调研和资料抽查情况，</w:t>
      </w:r>
      <w:r>
        <w:rPr>
          <w:rStyle w:val="14"/>
          <w:rFonts w:hint="eastAsia"/>
          <w:color w:val="auto"/>
        </w:rPr>
        <w:t>塔城地区公共图书馆免费开放专项</w:t>
      </w:r>
      <w:r>
        <w:rPr>
          <w:rFonts w:hint="eastAsia" w:ascii="仿宋_GB2312"/>
          <w:szCs w:val="28"/>
        </w:rPr>
        <w:t>已制严格遵守相关法律法规和相关管理规定，项目调整及支出调整手续完备，整体管理合理有序，项目完成后，及时将会计凭证、固定资产入库单等相关资料分类归档，制度执行有效。</w:t>
      </w:r>
      <w:bookmarkStart w:id="28" w:name="_Hlk67670213"/>
    </w:p>
    <w:bookmarkEnd w:id="28"/>
    <w:p w14:paraId="625D6DD0">
      <w:pPr>
        <w:spacing w:line="360" w:lineRule="auto"/>
        <w:ind w:firstLine="560"/>
        <w:outlineLvl w:val="1"/>
        <w:rPr>
          <w:rFonts w:ascii="仿宋_GB2312"/>
          <w:b/>
          <w:bCs/>
          <w:szCs w:val="28"/>
        </w:rPr>
      </w:pPr>
      <w:bookmarkStart w:id="29" w:name="_Toc67911614"/>
      <w:bookmarkStart w:id="30" w:name="_Toc31704"/>
      <w:r>
        <w:rPr>
          <w:rFonts w:hint="eastAsia" w:ascii="仿宋_GB2312"/>
          <w:b/>
          <w:bCs/>
          <w:szCs w:val="28"/>
        </w:rPr>
        <w:t>（三）项目产出情况</w:t>
      </w:r>
      <w:bookmarkEnd w:id="29"/>
      <w:bookmarkEnd w:id="30"/>
    </w:p>
    <w:p w14:paraId="457CDA92">
      <w:pPr>
        <w:spacing w:line="360" w:lineRule="auto"/>
        <w:ind w:firstLine="560"/>
        <w:rPr>
          <w:rFonts w:ascii="仿宋_GB2312"/>
          <w:b/>
          <w:bCs/>
          <w:szCs w:val="28"/>
        </w:rPr>
      </w:pPr>
      <w:r>
        <w:rPr>
          <w:rFonts w:hint="eastAsia" w:ascii="仿宋_GB2312"/>
          <w:b/>
          <w:bCs/>
          <w:szCs w:val="28"/>
        </w:rPr>
        <w:t>1</w:t>
      </w:r>
      <w:r>
        <w:rPr>
          <w:rFonts w:ascii="仿宋_GB2312"/>
          <w:b/>
          <w:bCs/>
          <w:szCs w:val="28"/>
        </w:rPr>
        <w:t>.</w:t>
      </w:r>
      <w:r>
        <w:rPr>
          <w:rFonts w:hint="eastAsia" w:ascii="仿宋_GB2312"/>
          <w:b/>
          <w:bCs/>
          <w:szCs w:val="28"/>
        </w:rPr>
        <w:t>产出数量</w:t>
      </w:r>
    </w:p>
    <w:p w14:paraId="0C00112C">
      <w:pPr>
        <w:spacing w:line="360" w:lineRule="auto"/>
        <w:ind w:firstLine="560"/>
        <w:rPr>
          <w:rFonts w:ascii="仿宋_GB2312"/>
          <w:color w:val="auto"/>
          <w:szCs w:val="28"/>
        </w:rPr>
      </w:pPr>
      <w:r>
        <w:rPr>
          <w:rFonts w:hint="eastAsia"/>
          <w:color w:val="auto"/>
        </w:rPr>
        <w:t>数量指标：指标1：</w:t>
      </w:r>
      <w:r>
        <w:rPr>
          <w:rFonts w:hint="eastAsia" w:ascii="仿宋_GB2312" w:hAnsi="仿宋" w:eastAsia="仿宋_GB2312" w:cs="宋体"/>
          <w:color w:val="auto"/>
          <w:kern w:val="0"/>
          <w:sz w:val="30"/>
          <w:szCs w:val="30"/>
        </w:rPr>
        <w:t>铺设DN150-DN600供热管网</w:t>
      </w:r>
      <w:r>
        <w:rPr>
          <w:rFonts w:hint="eastAsia"/>
          <w:color w:val="auto"/>
        </w:rPr>
        <w:t>，指标值：</w:t>
      </w:r>
      <w:r>
        <w:rPr>
          <w:rFonts w:hint="eastAsia" w:ascii="仿宋_GB2312" w:hAnsi="仿宋" w:eastAsia="仿宋_GB2312" w:cs="宋体"/>
          <w:color w:val="auto"/>
          <w:kern w:val="0"/>
          <w:sz w:val="30"/>
          <w:szCs w:val="30"/>
        </w:rPr>
        <w:t>≥4000米</w:t>
      </w:r>
      <w:r>
        <w:rPr>
          <w:rFonts w:hint="eastAsia"/>
          <w:color w:val="auto"/>
        </w:rPr>
        <w:t>，实际完成值</w:t>
      </w:r>
      <w:r>
        <w:rPr>
          <w:rFonts w:hint="eastAsia" w:ascii="仿宋_GB2312" w:hAnsi="仿宋" w:eastAsia="仿宋_GB2312" w:cs="宋体"/>
          <w:color w:val="auto"/>
          <w:kern w:val="0"/>
          <w:sz w:val="30"/>
          <w:szCs w:val="30"/>
        </w:rPr>
        <w:t>4000米</w:t>
      </w:r>
      <w:r>
        <w:rPr>
          <w:rFonts w:hint="eastAsia"/>
          <w:color w:val="auto"/>
        </w:rPr>
        <w:t>，指标完成率</w:t>
      </w:r>
      <w:r>
        <w:rPr>
          <w:rFonts w:hint="eastAsia"/>
          <w:color w:val="auto"/>
          <w:lang w:val="en-US" w:eastAsia="zh-CN"/>
        </w:rPr>
        <w:t>100</w:t>
      </w:r>
      <w:r>
        <w:rPr>
          <w:rFonts w:hint="eastAsia"/>
          <w:color w:val="auto"/>
        </w:rPr>
        <w:t>%</w:t>
      </w:r>
      <w:r>
        <w:rPr>
          <w:rFonts w:hint="eastAsia" w:ascii="仿宋_GB2312"/>
          <w:color w:val="auto"/>
          <w:szCs w:val="28"/>
        </w:rPr>
        <w:t>。</w:t>
      </w:r>
    </w:p>
    <w:p w14:paraId="70EF696D">
      <w:pPr>
        <w:spacing w:line="360" w:lineRule="auto"/>
        <w:ind w:firstLine="560"/>
        <w:rPr>
          <w:rFonts w:ascii="仿宋_GB2312"/>
          <w:b/>
          <w:bCs/>
          <w:color w:val="auto"/>
          <w:szCs w:val="28"/>
        </w:rPr>
      </w:pPr>
      <w:r>
        <w:rPr>
          <w:rFonts w:hint="eastAsia" w:ascii="仿宋_GB2312"/>
          <w:b/>
          <w:bCs/>
          <w:color w:val="auto"/>
          <w:szCs w:val="28"/>
        </w:rPr>
        <w:t>2</w:t>
      </w:r>
      <w:r>
        <w:rPr>
          <w:rFonts w:ascii="仿宋_GB2312"/>
          <w:b/>
          <w:bCs/>
          <w:color w:val="auto"/>
          <w:szCs w:val="28"/>
        </w:rPr>
        <w:t>.</w:t>
      </w:r>
      <w:r>
        <w:rPr>
          <w:rFonts w:hint="eastAsia" w:ascii="仿宋_GB2312"/>
          <w:b/>
          <w:bCs/>
          <w:color w:val="auto"/>
          <w:szCs w:val="28"/>
        </w:rPr>
        <w:t>产出质量</w:t>
      </w:r>
    </w:p>
    <w:p w14:paraId="5572282B">
      <w:pPr>
        <w:spacing w:line="360" w:lineRule="auto"/>
        <w:ind w:firstLine="560"/>
        <w:rPr>
          <w:rFonts w:hint="eastAsia"/>
          <w:color w:val="auto"/>
          <w:lang w:val="en-US" w:eastAsia="zh-CN"/>
        </w:rPr>
      </w:pPr>
      <w:r>
        <w:rPr>
          <w:rFonts w:hint="eastAsia"/>
          <w:color w:val="auto"/>
        </w:rPr>
        <w:t>质量指标：指标1：</w:t>
      </w:r>
      <w:r>
        <w:rPr>
          <w:rFonts w:hint="eastAsia" w:ascii="仿宋_GB2312" w:hAnsi="仿宋" w:eastAsia="仿宋_GB2312" w:cs="宋体"/>
          <w:color w:val="auto"/>
          <w:kern w:val="0"/>
          <w:sz w:val="30"/>
          <w:szCs w:val="30"/>
        </w:rPr>
        <w:t>工程量完成率</w:t>
      </w:r>
      <w:r>
        <w:rPr>
          <w:color w:val="auto"/>
        </w:rPr>
        <w:t xml:space="preserve"> </w:t>
      </w:r>
      <w:r>
        <w:rPr>
          <w:rFonts w:hint="eastAsia"/>
          <w:color w:val="auto"/>
        </w:rPr>
        <w:t>，指标值：</w:t>
      </w:r>
      <w:r>
        <w:rPr>
          <w:rFonts w:hint="eastAsia" w:ascii="仿宋_GB2312" w:hAnsi="仿宋" w:eastAsia="仿宋_GB2312" w:cs="宋体"/>
          <w:color w:val="auto"/>
          <w:kern w:val="0"/>
          <w:sz w:val="30"/>
          <w:szCs w:val="30"/>
        </w:rPr>
        <w:t>=100%</w:t>
      </w:r>
      <w:r>
        <w:rPr>
          <w:color w:val="auto"/>
        </w:rPr>
        <w:t xml:space="preserve"> </w:t>
      </w:r>
      <w:r>
        <w:rPr>
          <w:rFonts w:hint="eastAsia"/>
          <w:color w:val="auto"/>
        </w:rPr>
        <w:t>，实际完成值</w:t>
      </w:r>
      <w:r>
        <w:rPr>
          <w:rFonts w:hint="eastAsia" w:ascii="仿宋_GB2312" w:hAnsi="仿宋" w:eastAsia="仿宋_GB2312" w:cs="宋体"/>
          <w:color w:val="auto"/>
          <w:kern w:val="0"/>
          <w:sz w:val="30"/>
          <w:szCs w:val="30"/>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val="en-US" w:eastAsia="zh-CN"/>
        </w:rPr>
        <w:t>.</w:t>
      </w:r>
    </w:p>
    <w:p w14:paraId="6C6EBB57">
      <w:pPr>
        <w:spacing w:line="360" w:lineRule="auto"/>
        <w:ind w:firstLine="560"/>
        <w:rPr>
          <w:rFonts w:ascii="仿宋_GB2312"/>
          <w:b/>
          <w:bCs/>
          <w:color w:val="auto"/>
          <w:szCs w:val="28"/>
        </w:rPr>
      </w:pPr>
      <w:r>
        <w:rPr>
          <w:rFonts w:hint="eastAsia" w:ascii="仿宋_GB2312"/>
          <w:b/>
          <w:bCs/>
          <w:color w:val="auto"/>
          <w:szCs w:val="28"/>
        </w:rPr>
        <w:t>3</w:t>
      </w:r>
      <w:r>
        <w:rPr>
          <w:rFonts w:ascii="仿宋_GB2312"/>
          <w:b/>
          <w:bCs/>
          <w:color w:val="auto"/>
          <w:szCs w:val="28"/>
        </w:rPr>
        <w:t>.</w:t>
      </w:r>
      <w:r>
        <w:rPr>
          <w:rFonts w:hint="eastAsia" w:ascii="仿宋_GB2312"/>
          <w:b/>
          <w:bCs/>
          <w:color w:val="auto"/>
          <w:szCs w:val="28"/>
        </w:rPr>
        <w:t>产出时效</w:t>
      </w:r>
    </w:p>
    <w:p w14:paraId="2AA9E881">
      <w:pPr>
        <w:spacing w:line="360" w:lineRule="auto"/>
        <w:ind w:firstLine="560"/>
        <w:rPr>
          <w:rFonts w:hint="eastAsia" w:ascii="仿宋_GB2312" w:eastAsia="仿宋_GB2312"/>
          <w:b/>
          <w:bCs/>
          <w:color w:val="auto"/>
          <w:szCs w:val="28"/>
          <w:lang w:eastAsia="zh-CN"/>
        </w:rPr>
      </w:pPr>
      <w:r>
        <w:rPr>
          <w:rFonts w:hint="eastAsia"/>
          <w:color w:val="auto"/>
        </w:rPr>
        <w:t>时效指标：指标1：</w:t>
      </w:r>
      <w:r>
        <w:rPr>
          <w:rFonts w:hint="eastAsia" w:ascii="仿宋_GB2312" w:hAnsi="仿宋" w:eastAsia="仿宋_GB2312" w:cs="宋体"/>
          <w:color w:val="auto"/>
          <w:kern w:val="0"/>
          <w:sz w:val="30"/>
          <w:szCs w:val="30"/>
        </w:rPr>
        <w:t>工程按期完成率</w:t>
      </w:r>
      <w:r>
        <w:rPr>
          <w:rFonts w:hint="eastAsia"/>
          <w:color w:val="auto"/>
        </w:rPr>
        <w:t>，指标值：</w:t>
      </w:r>
      <w:r>
        <w:rPr>
          <w:rFonts w:hint="eastAsia"/>
          <w:color w:val="auto"/>
          <w:lang w:val="en-US" w:eastAsia="zh-CN"/>
        </w:rPr>
        <w:t>≥97%</w:t>
      </w:r>
      <w:r>
        <w:rPr>
          <w:rFonts w:hint="eastAsia"/>
          <w:color w:val="auto"/>
        </w:rPr>
        <w:t>，实际完成值</w:t>
      </w:r>
      <w:r>
        <w:rPr>
          <w:rFonts w:hint="eastAsia"/>
          <w:color w:val="auto"/>
          <w:lang w:eastAsia="zh-CN"/>
        </w:rPr>
        <w:t>：</w:t>
      </w:r>
      <w:r>
        <w:rPr>
          <w:rFonts w:hint="eastAsia"/>
          <w:color w:val="auto"/>
          <w:lang w:val="en-US" w:eastAsia="zh-CN"/>
        </w:rPr>
        <w:t>按期完成</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val="en-US" w:eastAsia="zh-CN"/>
        </w:rPr>
        <w:t>。</w:t>
      </w:r>
    </w:p>
    <w:p w14:paraId="5084D757">
      <w:pPr>
        <w:spacing w:line="360" w:lineRule="auto"/>
        <w:ind w:firstLine="560"/>
        <w:rPr>
          <w:rFonts w:ascii="仿宋_GB2312"/>
          <w:b/>
          <w:bCs/>
          <w:color w:val="auto"/>
          <w:szCs w:val="28"/>
        </w:rPr>
      </w:pPr>
      <w:r>
        <w:rPr>
          <w:rFonts w:hint="eastAsia" w:ascii="仿宋_GB2312"/>
          <w:b/>
          <w:bCs/>
          <w:color w:val="auto"/>
          <w:szCs w:val="28"/>
        </w:rPr>
        <w:t>4</w:t>
      </w:r>
      <w:r>
        <w:rPr>
          <w:rFonts w:ascii="仿宋_GB2312"/>
          <w:b/>
          <w:bCs/>
          <w:color w:val="auto"/>
          <w:szCs w:val="28"/>
        </w:rPr>
        <w:t>.</w:t>
      </w:r>
      <w:r>
        <w:rPr>
          <w:rFonts w:hint="eastAsia" w:ascii="仿宋_GB2312"/>
          <w:b/>
          <w:bCs/>
          <w:color w:val="auto"/>
          <w:szCs w:val="28"/>
        </w:rPr>
        <w:t>产出成本</w:t>
      </w:r>
    </w:p>
    <w:p w14:paraId="747D71BF">
      <w:pPr>
        <w:spacing w:line="360" w:lineRule="auto"/>
        <w:ind w:firstLine="560"/>
        <w:rPr>
          <w:rFonts w:hint="eastAsia" w:ascii="仿宋_GB2312" w:eastAsia="仿宋_GB2312"/>
          <w:b/>
          <w:bCs/>
          <w:szCs w:val="28"/>
          <w:lang w:eastAsia="zh-CN"/>
        </w:rPr>
      </w:pPr>
      <w:r>
        <w:rPr>
          <w:rFonts w:hint="eastAsia"/>
          <w:color w:val="auto"/>
        </w:rPr>
        <w:t>成本指标：指标1：</w:t>
      </w:r>
      <w:r>
        <w:rPr>
          <w:rFonts w:hint="eastAsia" w:ascii="仿宋_GB2312" w:hAnsi="仿宋" w:eastAsia="仿宋_GB2312" w:cs="宋体"/>
          <w:color w:val="auto"/>
          <w:kern w:val="0"/>
          <w:sz w:val="30"/>
          <w:szCs w:val="30"/>
        </w:rPr>
        <w:t>工程建设成本</w:t>
      </w:r>
      <w:r>
        <w:rPr>
          <w:rFonts w:hint="eastAsia"/>
          <w:color w:val="auto"/>
        </w:rPr>
        <w:t>，指标值：</w:t>
      </w:r>
      <w:r>
        <w:rPr>
          <w:rFonts w:hint="eastAsia"/>
          <w:color w:val="auto"/>
          <w:lang w:val="en-US" w:eastAsia="zh-CN"/>
        </w:rPr>
        <w:t>1000万元</w:t>
      </w:r>
      <w:r>
        <w:rPr>
          <w:rFonts w:hint="eastAsia"/>
          <w:color w:val="auto"/>
        </w:rPr>
        <w:t>，实际完成值</w:t>
      </w:r>
      <w:r>
        <w:rPr>
          <w:rFonts w:hint="eastAsia"/>
          <w:color w:val="auto"/>
          <w:lang w:val="en-US" w:eastAsia="zh-CN"/>
        </w:rPr>
        <w:t>1000万元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val="en-US" w:eastAsia="zh-CN"/>
        </w:rPr>
        <w:t>。</w:t>
      </w:r>
    </w:p>
    <w:p w14:paraId="5108FE9C">
      <w:pPr>
        <w:spacing w:line="360" w:lineRule="auto"/>
        <w:ind w:firstLine="560"/>
        <w:outlineLvl w:val="1"/>
        <w:rPr>
          <w:rFonts w:ascii="仿宋_GB2312"/>
          <w:b/>
          <w:bCs/>
          <w:szCs w:val="28"/>
        </w:rPr>
      </w:pPr>
      <w:bookmarkStart w:id="31" w:name="_Toc31697"/>
      <w:bookmarkStart w:id="32" w:name="_Toc67911615"/>
      <w:r>
        <w:rPr>
          <w:rFonts w:hint="eastAsia" w:ascii="仿宋_GB2312"/>
          <w:b/>
          <w:bCs/>
          <w:szCs w:val="28"/>
        </w:rPr>
        <w:t>（四）项目效益情况</w:t>
      </w:r>
      <w:bookmarkEnd w:id="31"/>
      <w:bookmarkEnd w:id="32"/>
    </w:p>
    <w:p w14:paraId="062810C0">
      <w:pPr>
        <w:spacing w:line="360" w:lineRule="auto"/>
        <w:ind w:firstLine="560"/>
        <w:rPr>
          <w:rFonts w:ascii="仿宋_GB2312"/>
          <w:b/>
          <w:bCs/>
          <w:szCs w:val="28"/>
        </w:rPr>
      </w:pPr>
      <w:r>
        <w:rPr>
          <w:rFonts w:hint="eastAsia" w:ascii="仿宋_GB2312"/>
          <w:b/>
          <w:bCs/>
          <w:szCs w:val="28"/>
        </w:rPr>
        <w:t>1</w:t>
      </w:r>
      <w:r>
        <w:rPr>
          <w:rFonts w:ascii="仿宋_GB2312"/>
          <w:b/>
          <w:bCs/>
          <w:szCs w:val="28"/>
        </w:rPr>
        <w:t>.</w:t>
      </w:r>
      <w:r>
        <w:rPr>
          <w:rFonts w:hint="eastAsia" w:ascii="仿宋_GB2312"/>
          <w:b/>
          <w:bCs/>
          <w:szCs w:val="28"/>
        </w:rPr>
        <w:t>项目效益</w:t>
      </w:r>
    </w:p>
    <w:p w14:paraId="22B25165">
      <w:pPr>
        <w:spacing w:line="360" w:lineRule="auto"/>
        <w:ind w:firstLine="560"/>
        <w:rPr>
          <w:rFonts w:ascii="仿宋_GB2312"/>
          <w:b/>
          <w:bCs/>
          <w:szCs w:val="28"/>
        </w:rPr>
      </w:pPr>
      <w:r>
        <w:rPr>
          <w:rFonts w:hint="eastAsia" w:ascii="仿宋_GB2312"/>
          <w:b/>
          <w:bCs/>
          <w:szCs w:val="28"/>
        </w:rPr>
        <w:t>（1）实施效益</w:t>
      </w:r>
    </w:p>
    <w:p w14:paraId="26BF50C8">
      <w:pPr>
        <w:spacing w:line="360" w:lineRule="auto"/>
        <w:ind w:firstLine="560"/>
        <w:rPr>
          <w:rFonts w:hint="default" w:ascii="仿宋_GB2312"/>
          <w:szCs w:val="28"/>
          <w:lang w:val="en-US" w:eastAsia="zh-CN"/>
        </w:rPr>
      </w:pPr>
      <w:r>
        <w:rPr>
          <w:rFonts w:hint="eastAsia" w:ascii="仿宋_GB2312"/>
          <w:b/>
          <w:bCs/>
          <w:szCs w:val="28"/>
        </w:rPr>
        <w:t>经济效益指标：</w:t>
      </w:r>
      <w:r>
        <w:rPr>
          <w:rFonts w:hint="eastAsia" w:ascii="仿宋_GB2312"/>
          <w:szCs w:val="28"/>
        </w:rPr>
        <w:t>评价指标“设计功能实现率”，指标值：</w:t>
      </w:r>
      <w:r>
        <w:rPr>
          <w:rFonts w:hint="eastAsia" w:ascii="仿宋_GB2312"/>
          <w:szCs w:val="28"/>
          <w:lang w:val="en-US" w:eastAsia="zh-CN"/>
        </w:rPr>
        <w:t>100%</w:t>
      </w:r>
      <w:r>
        <w:rPr>
          <w:rFonts w:hint="eastAsia" w:ascii="仿宋_GB2312"/>
          <w:szCs w:val="28"/>
        </w:rPr>
        <w:t>，实际完成值：</w:t>
      </w:r>
      <w:r>
        <w:rPr>
          <w:rFonts w:hint="eastAsia" w:ascii="仿宋_GB2312"/>
          <w:szCs w:val="28"/>
          <w:lang w:val="en-US" w:eastAsia="zh-CN"/>
        </w:rPr>
        <w:t>100%，</w:t>
      </w:r>
      <w:r>
        <w:rPr>
          <w:rFonts w:hint="eastAsia" w:ascii="仿宋_GB2312"/>
          <w:szCs w:val="28"/>
        </w:rPr>
        <w:t>达成年度指标</w:t>
      </w:r>
      <w:r>
        <w:rPr>
          <w:rFonts w:hint="eastAsia" w:ascii="仿宋_GB2312"/>
          <w:szCs w:val="28"/>
          <w:lang w:eastAsia="zh-CN"/>
        </w:rPr>
        <w:t>，</w:t>
      </w:r>
      <w:r>
        <w:rPr>
          <w:rFonts w:hint="eastAsia" w:ascii="仿宋_GB2312"/>
          <w:szCs w:val="28"/>
          <w:lang w:val="en-US" w:eastAsia="zh-CN"/>
        </w:rPr>
        <w:t>设计功能符合预期效果，</w:t>
      </w:r>
      <w:r>
        <w:rPr>
          <w:rFonts w:hint="eastAsia" w:ascii="仿宋_GB2312"/>
          <w:szCs w:val="28"/>
        </w:rPr>
        <w:t>建筑工程达到设计结构标准</w:t>
      </w:r>
      <w:r>
        <w:rPr>
          <w:rFonts w:hint="eastAsia" w:ascii="仿宋_GB2312"/>
          <w:szCs w:val="28"/>
          <w:lang w:val="en-US" w:eastAsia="zh-CN"/>
        </w:rPr>
        <w:t>要求。</w:t>
      </w:r>
    </w:p>
    <w:p w14:paraId="18CFA1BF">
      <w:pPr>
        <w:spacing w:line="360" w:lineRule="auto"/>
        <w:ind w:firstLine="560"/>
        <w:rPr>
          <w:rFonts w:hint="default" w:ascii="仿宋_GB2312" w:eastAsia="仿宋_GB2312"/>
          <w:szCs w:val="28"/>
          <w:lang w:val="en-US" w:eastAsia="zh-CN"/>
        </w:rPr>
      </w:pPr>
      <w:r>
        <w:rPr>
          <w:rFonts w:hint="eastAsia" w:ascii="仿宋_GB2312"/>
          <w:b/>
          <w:bCs/>
          <w:szCs w:val="28"/>
        </w:rPr>
        <w:t>社会效益指标</w:t>
      </w:r>
      <w:r>
        <w:rPr>
          <w:rFonts w:hint="eastAsia" w:ascii="仿宋_GB2312"/>
          <w:szCs w:val="28"/>
        </w:rPr>
        <w:t>：评价指标“提高居民生活质量”，指标值：</w:t>
      </w:r>
      <w:r>
        <w:rPr>
          <w:rFonts w:hint="eastAsia" w:ascii="仿宋_GB2312"/>
          <w:szCs w:val="28"/>
          <w:lang w:val="en-US" w:eastAsia="zh-CN"/>
        </w:rPr>
        <w:t>≥</w:t>
      </w:r>
      <w:r>
        <w:rPr>
          <w:rFonts w:hint="eastAsia" w:ascii="仿宋_GB2312"/>
          <w:szCs w:val="28"/>
        </w:rPr>
        <w:t>98%，实际完成值</w:t>
      </w:r>
      <w:r>
        <w:rPr>
          <w:rFonts w:hint="eastAsia" w:ascii="仿宋_GB2312"/>
          <w:szCs w:val="28"/>
          <w:lang w:val="en-US" w:eastAsia="zh-CN"/>
        </w:rPr>
        <w:t>98%</w:t>
      </w:r>
      <w:r>
        <w:rPr>
          <w:rFonts w:hint="eastAsia" w:ascii="仿宋_GB2312"/>
          <w:szCs w:val="28"/>
        </w:rPr>
        <w:t>：达成年度指标</w:t>
      </w:r>
      <w:r>
        <w:rPr>
          <w:rFonts w:hint="eastAsia" w:ascii="仿宋_GB2312"/>
          <w:szCs w:val="28"/>
          <w:lang w:eastAsia="zh-CN"/>
        </w:rPr>
        <w:t>，</w:t>
      </w:r>
      <w:r>
        <w:rPr>
          <w:rFonts w:hint="eastAsia" w:ascii="仿宋_GB2312"/>
          <w:szCs w:val="28"/>
          <w:lang w:val="en-US" w:eastAsia="zh-CN"/>
        </w:rPr>
        <w:t>项目实施后可有效提高周边居民冬季采暖保障率，改善周边居民生活质量。</w:t>
      </w:r>
    </w:p>
    <w:p w14:paraId="11216D04">
      <w:pPr>
        <w:spacing w:line="360" w:lineRule="auto"/>
        <w:ind w:firstLine="560"/>
        <w:rPr>
          <w:rFonts w:hint="default" w:ascii="仿宋_GB2312"/>
          <w:szCs w:val="28"/>
          <w:lang w:val="en-US"/>
        </w:rPr>
      </w:pPr>
      <w:r>
        <w:rPr>
          <w:rFonts w:hint="eastAsia" w:ascii="仿宋_GB2312"/>
          <w:b/>
          <w:bCs/>
          <w:szCs w:val="28"/>
        </w:rPr>
        <w:t>生态效益指标</w:t>
      </w:r>
      <w:r>
        <w:rPr>
          <w:rFonts w:hint="eastAsia" w:ascii="仿宋_GB2312"/>
          <w:szCs w:val="28"/>
        </w:rPr>
        <w:t>：评价指标“环境效益”，指标值：节能减排，减少能源使用，实际完成值</w:t>
      </w:r>
      <w:r>
        <w:rPr>
          <w:rFonts w:hint="eastAsia" w:ascii="仿宋_GB2312"/>
          <w:szCs w:val="28"/>
          <w:lang w:eastAsia="zh-CN"/>
        </w:rPr>
        <w:t>：</w:t>
      </w:r>
      <w:r>
        <w:rPr>
          <w:rFonts w:hint="eastAsia" w:ascii="仿宋_GB2312"/>
          <w:szCs w:val="28"/>
          <w:lang w:val="en-US" w:eastAsia="zh-CN"/>
        </w:rPr>
        <w:t>效果显著</w:t>
      </w:r>
      <w:r>
        <w:rPr>
          <w:rFonts w:hint="eastAsia" w:ascii="仿宋_GB2312"/>
          <w:szCs w:val="28"/>
        </w:rPr>
        <w:t>：达成年度指标。</w:t>
      </w:r>
      <w:r>
        <w:rPr>
          <w:rFonts w:hint="eastAsia" w:ascii="仿宋_GB2312"/>
          <w:szCs w:val="28"/>
          <w:lang w:val="en-US" w:eastAsia="zh-CN"/>
        </w:rPr>
        <w:t>可有效降低小型取暖锅炉使用率，降低能源消耗，节能减排。</w:t>
      </w:r>
    </w:p>
    <w:p w14:paraId="51D6093D">
      <w:pPr>
        <w:spacing w:line="360" w:lineRule="auto"/>
        <w:ind w:firstLine="560"/>
        <w:rPr>
          <w:rFonts w:hint="default" w:ascii="仿宋_GB2312" w:eastAsia="仿宋_GB2312"/>
          <w:szCs w:val="28"/>
          <w:lang w:val="en-US" w:eastAsia="zh-CN"/>
        </w:rPr>
      </w:pPr>
      <w:r>
        <w:rPr>
          <w:rFonts w:hint="eastAsia" w:ascii="仿宋_GB2312"/>
          <w:b/>
          <w:bCs/>
          <w:szCs w:val="28"/>
        </w:rPr>
        <w:t>可持续影响指标：</w:t>
      </w:r>
      <w:r>
        <w:rPr>
          <w:rFonts w:hint="eastAsia" w:ascii="仿宋_GB2312"/>
          <w:szCs w:val="28"/>
        </w:rPr>
        <w:t>评价指标“可持续健康发展”，指标值：</w:t>
      </w:r>
      <w:r>
        <w:rPr>
          <w:rFonts w:hint="eastAsia" w:ascii="仿宋_GB2312"/>
          <w:szCs w:val="28"/>
          <w:lang w:val="en-US" w:eastAsia="zh-CN"/>
        </w:rPr>
        <w:t>长期促进</w:t>
      </w:r>
      <w:r>
        <w:rPr>
          <w:rFonts w:hint="eastAsia" w:ascii="仿宋_GB2312"/>
          <w:szCs w:val="28"/>
        </w:rPr>
        <w:t>，实际完成值</w:t>
      </w:r>
      <w:r>
        <w:rPr>
          <w:rFonts w:hint="eastAsia" w:ascii="仿宋_GB2312"/>
          <w:szCs w:val="28"/>
          <w:lang w:val="en-US" w:eastAsia="zh-CN"/>
        </w:rPr>
        <w:t>：长期促进</w:t>
      </w:r>
      <w:r>
        <w:rPr>
          <w:rFonts w:hint="eastAsia" w:ascii="仿宋_GB2312"/>
          <w:szCs w:val="28"/>
          <w:lang w:eastAsia="zh-CN"/>
        </w:rPr>
        <w:t>，</w:t>
      </w:r>
      <w:r>
        <w:rPr>
          <w:rFonts w:hint="eastAsia" w:ascii="仿宋_GB2312"/>
          <w:szCs w:val="28"/>
        </w:rPr>
        <w:t>达成年度指标。</w:t>
      </w:r>
      <w:r>
        <w:rPr>
          <w:rFonts w:hint="eastAsia" w:ascii="仿宋_GB2312"/>
          <w:szCs w:val="28"/>
          <w:lang w:val="en-US" w:eastAsia="zh-CN"/>
        </w:rPr>
        <w:t>设计功能使用年限15年，设备、材料、施工严格按照设计标准执行。</w:t>
      </w:r>
    </w:p>
    <w:p w14:paraId="1F60A43D">
      <w:pPr>
        <w:spacing w:line="360" w:lineRule="auto"/>
        <w:ind w:firstLine="560"/>
        <w:rPr>
          <w:rFonts w:ascii="仿宋_GB2312"/>
          <w:b/>
          <w:bCs/>
          <w:szCs w:val="28"/>
        </w:rPr>
      </w:pPr>
      <w:r>
        <w:rPr>
          <w:rFonts w:hint="eastAsia" w:ascii="仿宋_GB2312"/>
          <w:b/>
          <w:bCs/>
          <w:szCs w:val="28"/>
        </w:rPr>
        <w:t>（2）满意度</w:t>
      </w:r>
    </w:p>
    <w:p w14:paraId="567C583E">
      <w:pPr>
        <w:spacing w:line="360" w:lineRule="auto"/>
        <w:ind w:firstLine="560"/>
        <w:rPr>
          <w:rFonts w:ascii="仿宋_GB2312"/>
          <w:szCs w:val="28"/>
        </w:rPr>
      </w:pPr>
      <w:r>
        <w:rPr>
          <w:rFonts w:hint="eastAsia" w:ascii="仿宋_GB2312"/>
          <w:b/>
          <w:bCs/>
          <w:szCs w:val="28"/>
        </w:rPr>
        <w:t>服务对象满意度指标：</w:t>
      </w:r>
      <w:r>
        <w:rPr>
          <w:rFonts w:hint="eastAsia" w:ascii="仿宋_GB2312"/>
          <w:szCs w:val="28"/>
        </w:rPr>
        <w:t>评价指标“受益群体满意度”，指标值：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w:t>
      </w:r>
    </w:p>
    <w:p w14:paraId="25CA9E28">
      <w:pPr>
        <w:spacing w:line="360" w:lineRule="auto"/>
        <w:ind w:firstLine="0" w:firstLineChars="0"/>
        <w:outlineLvl w:val="0"/>
        <w:rPr>
          <w:rFonts w:ascii="仿宋_GB2312"/>
          <w:b/>
          <w:bCs/>
          <w:sz w:val="32"/>
          <w:szCs w:val="32"/>
        </w:rPr>
      </w:pPr>
      <w:bookmarkStart w:id="33" w:name="_Toc32407"/>
      <w:bookmarkStart w:id="34" w:name="_Toc67911616"/>
      <w:r>
        <w:rPr>
          <w:rFonts w:hint="eastAsia" w:ascii="仿宋_GB2312"/>
          <w:b/>
          <w:bCs/>
          <w:sz w:val="32"/>
          <w:szCs w:val="32"/>
        </w:rPr>
        <w:t>五、预算执行进度与绩效指标偏差</w:t>
      </w:r>
      <w:bookmarkEnd w:id="33"/>
      <w:bookmarkEnd w:id="34"/>
    </w:p>
    <w:p w14:paraId="288A3CBC">
      <w:pPr>
        <w:spacing w:line="360" w:lineRule="auto"/>
        <w:ind w:firstLine="560"/>
        <w:rPr>
          <w:rFonts w:ascii="仿宋_GB2312"/>
          <w:szCs w:val="28"/>
        </w:rPr>
      </w:pPr>
      <w:r>
        <w:rPr>
          <w:rFonts w:hint="eastAsia" w:ascii="仿宋_GB2312"/>
          <w:szCs w:val="28"/>
        </w:rPr>
        <w:t>本项目预算执行率为</w:t>
      </w:r>
      <w:r>
        <w:rPr>
          <w:rFonts w:hint="eastAsia" w:ascii="仿宋_GB2312"/>
          <w:szCs w:val="28"/>
          <w:lang w:val="en-US" w:eastAsia="zh-CN"/>
        </w:rPr>
        <w:t>100</w:t>
      </w:r>
      <w:r>
        <w:rPr>
          <w:rFonts w:hint="eastAsia" w:ascii="仿宋_GB2312"/>
          <w:szCs w:val="28"/>
        </w:rPr>
        <w:t>%，指标总体完成率为</w:t>
      </w:r>
      <w:r>
        <w:rPr>
          <w:rFonts w:hint="eastAsia" w:ascii="仿宋_GB2312"/>
          <w:szCs w:val="28"/>
          <w:lang w:val="en-US" w:eastAsia="zh-CN"/>
        </w:rPr>
        <w:t>100</w:t>
      </w:r>
      <w:r>
        <w:rPr>
          <w:rFonts w:hint="eastAsia" w:ascii="仿宋_GB2312"/>
          <w:szCs w:val="28"/>
        </w:rPr>
        <w:t>%，二者之间</w:t>
      </w:r>
      <w:r>
        <w:rPr>
          <w:rFonts w:hint="eastAsia" w:ascii="仿宋_GB2312"/>
          <w:szCs w:val="28"/>
          <w:lang w:val="en-US" w:eastAsia="zh-CN"/>
        </w:rPr>
        <w:t>无</w:t>
      </w:r>
      <w:r>
        <w:rPr>
          <w:rFonts w:hint="eastAsia" w:ascii="仿宋_GB2312"/>
          <w:szCs w:val="28"/>
        </w:rPr>
        <w:t>偏差。因此，本项目较好地完成了年度总体目标，财政资金使用效益和效率较高。</w:t>
      </w:r>
    </w:p>
    <w:p w14:paraId="261DFD7B">
      <w:pPr>
        <w:spacing w:line="360" w:lineRule="auto"/>
        <w:ind w:firstLine="0" w:firstLineChars="0"/>
        <w:outlineLvl w:val="0"/>
        <w:rPr>
          <w:rFonts w:ascii="仿宋_GB2312"/>
          <w:b/>
          <w:bCs/>
          <w:sz w:val="32"/>
          <w:szCs w:val="32"/>
        </w:rPr>
      </w:pPr>
      <w:bookmarkStart w:id="35" w:name="_Toc67911617"/>
      <w:bookmarkStart w:id="36" w:name="_Toc5156"/>
      <w:r>
        <w:rPr>
          <w:rFonts w:hint="eastAsia" w:ascii="仿宋_GB2312"/>
          <w:b/>
          <w:bCs/>
          <w:sz w:val="32"/>
          <w:szCs w:val="32"/>
        </w:rPr>
        <w:t>六、主要经验及做法、存在的问题及原因分析</w:t>
      </w:r>
      <w:bookmarkEnd w:id="35"/>
      <w:bookmarkEnd w:id="36"/>
    </w:p>
    <w:p w14:paraId="540732D1">
      <w:pPr>
        <w:spacing w:line="360" w:lineRule="auto"/>
        <w:ind w:firstLine="560"/>
        <w:outlineLvl w:val="1"/>
        <w:rPr>
          <w:rFonts w:ascii="仿宋_GB2312"/>
          <w:b/>
          <w:bCs/>
          <w:szCs w:val="28"/>
        </w:rPr>
      </w:pPr>
      <w:bookmarkStart w:id="37" w:name="_Toc67911618"/>
      <w:bookmarkStart w:id="38" w:name="_Toc18450"/>
      <w:r>
        <w:rPr>
          <w:rFonts w:hint="eastAsia" w:ascii="仿宋_GB2312"/>
          <w:b/>
          <w:bCs/>
          <w:szCs w:val="28"/>
        </w:rPr>
        <w:t>（一）主要经验及做法</w:t>
      </w:r>
      <w:bookmarkEnd w:id="37"/>
      <w:bookmarkEnd w:id="38"/>
    </w:p>
    <w:p w14:paraId="3153160F">
      <w:pPr>
        <w:autoSpaceDE w:val="0"/>
        <w:spacing w:line="600" w:lineRule="exact"/>
        <w:ind w:firstLine="560"/>
        <w:rPr>
          <w:rFonts w:hint="default" w:ascii="仿宋_GB2312" w:hAnsi="仿宋" w:eastAsia="仿宋_GB2312" w:cs="宋体"/>
          <w:b/>
          <w:kern w:val="0"/>
          <w:szCs w:val="28"/>
          <w:lang w:val="en-US" w:eastAsia="zh-CN"/>
        </w:rPr>
      </w:pPr>
      <w:r>
        <w:rPr>
          <w:rFonts w:hint="eastAsia" w:ascii="仿宋_GB2312" w:hAnsi="仿宋" w:cs="宋体"/>
          <w:b/>
          <w:kern w:val="0"/>
          <w:szCs w:val="28"/>
        </w:rPr>
        <w:t>1.</w:t>
      </w:r>
      <w:r>
        <w:rPr>
          <w:rFonts w:hint="eastAsia"/>
          <w:lang w:val="en-US" w:eastAsia="zh-CN"/>
        </w:rPr>
        <w:t>深入调查，做好前期准备工作，确保项目按计划进行。</w:t>
      </w:r>
    </w:p>
    <w:p w14:paraId="1D5F7A8A">
      <w:pPr>
        <w:autoSpaceDE w:val="0"/>
        <w:spacing w:line="600" w:lineRule="exact"/>
        <w:ind w:firstLine="560"/>
        <w:rPr>
          <w:rFonts w:hint="default" w:ascii="仿宋_GB2312" w:hAnsi="仿宋" w:eastAsia="仿宋_GB2312" w:cs="宋体"/>
          <w:b/>
          <w:kern w:val="0"/>
          <w:szCs w:val="28"/>
          <w:lang w:val="en-US" w:eastAsia="zh-CN"/>
        </w:rPr>
      </w:pPr>
      <w:r>
        <w:rPr>
          <w:rFonts w:ascii="仿宋_GB2312"/>
          <w:b/>
          <w:bCs/>
          <w:szCs w:val="28"/>
        </w:rPr>
        <w:t>2.</w:t>
      </w:r>
      <w:r>
        <w:rPr>
          <w:rFonts w:hint="eastAsia" w:ascii="仿宋_GB2312" w:hAnsi="仿宋" w:cs="宋体"/>
          <w:b w:val="0"/>
          <w:bCs/>
          <w:kern w:val="0"/>
          <w:szCs w:val="28"/>
          <w:lang w:val="en-US" w:eastAsia="zh-CN"/>
        </w:rPr>
        <w:t>规范管理，建立科学高效、符合项目要求机制，结合项目自身特点制定有效实施方案。</w:t>
      </w:r>
    </w:p>
    <w:p w14:paraId="4397A8E0">
      <w:pPr>
        <w:spacing w:line="360" w:lineRule="auto"/>
        <w:ind w:firstLine="560"/>
        <w:outlineLvl w:val="1"/>
        <w:rPr>
          <w:rFonts w:hint="default" w:ascii="仿宋_GB2312"/>
          <w:bCs/>
          <w:szCs w:val="28"/>
          <w:lang w:val="en-US" w:eastAsia="zh-CN"/>
        </w:rPr>
      </w:pPr>
      <w:bookmarkStart w:id="39" w:name="_Toc9205"/>
      <w:r>
        <w:rPr>
          <w:rFonts w:hint="eastAsia" w:ascii="仿宋_GB2312"/>
          <w:bCs/>
          <w:szCs w:val="28"/>
          <w:lang w:val="en-US" w:eastAsia="zh-CN"/>
        </w:rPr>
        <w:t>3.加强资金管理，完善资金申请、拨付、使用等各环节的管理，实现资金申请、拨付、使用规范化，在资金使用上不违规。</w:t>
      </w:r>
    </w:p>
    <w:p w14:paraId="01392B79">
      <w:pPr>
        <w:spacing w:line="360" w:lineRule="auto"/>
        <w:ind w:firstLine="560"/>
        <w:outlineLvl w:val="1"/>
        <w:rPr>
          <w:rFonts w:ascii="仿宋_GB2312"/>
          <w:b/>
          <w:bCs/>
          <w:szCs w:val="28"/>
        </w:rPr>
      </w:pPr>
      <w:r>
        <w:rPr>
          <w:rFonts w:hint="eastAsia" w:ascii="仿宋_GB2312"/>
          <w:b/>
          <w:bCs/>
          <w:szCs w:val="28"/>
        </w:rPr>
        <w:t>（二）存在的问题及原因分析</w:t>
      </w:r>
      <w:bookmarkEnd w:id="39"/>
    </w:p>
    <w:p w14:paraId="4FC26B61">
      <w:pPr>
        <w:spacing w:line="360" w:lineRule="auto"/>
        <w:ind w:firstLine="560"/>
        <w:rPr>
          <w:rFonts w:hint="default" w:ascii="仿宋_GB2312" w:eastAsia="仿宋_GB2312"/>
          <w:b w:val="0"/>
          <w:bCs w:val="0"/>
          <w:szCs w:val="28"/>
          <w:lang w:val="en-US" w:eastAsia="zh-CN"/>
        </w:rPr>
      </w:pPr>
      <w:r>
        <w:rPr>
          <w:rFonts w:hint="eastAsia" w:ascii="仿宋_GB2312"/>
          <w:b w:val="0"/>
          <w:bCs w:val="0"/>
          <w:szCs w:val="28"/>
        </w:rPr>
        <w:t>1</w:t>
      </w:r>
      <w:r>
        <w:rPr>
          <w:rFonts w:ascii="仿宋_GB2312"/>
          <w:b w:val="0"/>
          <w:bCs w:val="0"/>
          <w:szCs w:val="28"/>
        </w:rPr>
        <w:t>.</w:t>
      </w:r>
      <w:r>
        <w:rPr>
          <w:rFonts w:hint="eastAsia" w:ascii="仿宋_GB2312"/>
          <w:b w:val="0"/>
          <w:bCs w:val="0"/>
          <w:szCs w:val="28"/>
          <w:lang w:val="en-US" w:eastAsia="zh-CN"/>
        </w:rPr>
        <w:t>实施过程中存在纠纷问题，项目施工地点位于居民区，临时占用道路，导致居民不满，阻挠施工，后经多次协调化解，因前期调研工作不足，导致施工过程中出现以上情况，今后加强前期调研工作，确保项目实施过程中出现类似情况。</w:t>
      </w:r>
    </w:p>
    <w:p w14:paraId="5D6D1904">
      <w:pPr>
        <w:spacing w:line="360" w:lineRule="auto"/>
        <w:ind w:firstLine="0" w:firstLineChars="0"/>
        <w:outlineLvl w:val="0"/>
        <w:rPr>
          <w:rFonts w:ascii="仿宋_GB2312"/>
          <w:b/>
          <w:bCs/>
          <w:sz w:val="32"/>
          <w:szCs w:val="32"/>
        </w:rPr>
      </w:pPr>
      <w:bookmarkStart w:id="40" w:name="_Toc26872"/>
      <w:bookmarkStart w:id="41" w:name="_Toc67911619"/>
      <w:r>
        <w:rPr>
          <w:rFonts w:hint="eastAsia" w:ascii="仿宋_GB2312"/>
          <w:b/>
          <w:bCs/>
          <w:sz w:val="32"/>
          <w:szCs w:val="32"/>
        </w:rPr>
        <w:t>七、有关建议其他需要说明的问题</w:t>
      </w:r>
      <w:bookmarkEnd w:id="40"/>
      <w:bookmarkEnd w:id="41"/>
    </w:p>
    <w:p w14:paraId="0D1A2D7F">
      <w:pPr>
        <w:spacing w:line="360" w:lineRule="auto"/>
        <w:ind w:firstLine="560"/>
        <w:rPr>
          <w:rFonts w:hint="eastAsia" w:ascii="仿宋_GB2312"/>
          <w:b w:val="0"/>
          <w:bCs w:val="0"/>
          <w:szCs w:val="28"/>
          <w:lang w:val="en-US" w:eastAsia="zh-CN"/>
        </w:rPr>
      </w:pPr>
      <w:r>
        <w:rPr>
          <w:rFonts w:hint="eastAsia" w:ascii="仿宋_GB2312"/>
          <w:szCs w:val="28"/>
        </w:rPr>
        <w:t>1</w:t>
      </w:r>
      <w:r>
        <w:rPr>
          <w:rFonts w:ascii="仿宋_GB2312"/>
          <w:szCs w:val="28"/>
        </w:rPr>
        <w:t>.</w:t>
      </w:r>
      <w:r>
        <w:rPr>
          <w:rFonts w:hint="eastAsia" w:ascii="仿宋_GB2312"/>
          <w:b w:val="0"/>
          <w:bCs w:val="0"/>
          <w:szCs w:val="28"/>
          <w:lang w:val="en-US" w:eastAsia="zh-CN"/>
        </w:rPr>
        <w:t>项目规划应注重实现项目收益的可行性。在进行专项债券项目前期策划时，应充分考量区域整体情况，尽量避免出现同类项目扎堆申请专项债券资金，促进项目结构健康、良性发展。</w:t>
      </w:r>
    </w:p>
    <w:p w14:paraId="0D94EE77">
      <w:pPr>
        <w:spacing w:line="360" w:lineRule="auto"/>
        <w:ind w:firstLine="560"/>
        <w:rPr>
          <w:rFonts w:hint="eastAsia" w:ascii="微软雅黑" w:hAnsi="微软雅黑" w:eastAsia="微软雅黑" w:cs="微软雅黑"/>
          <w:i w:val="0"/>
          <w:iCs w:val="0"/>
          <w:caps w:val="0"/>
          <w:color w:val="4D4F53"/>
          <w:spacing w:val="0"/>
          <w:sz w:val="27"/>
          <w:szCs w:val="27"/>
          <w:lang w:eastAsia="zh-CN"/>
        </w:rPr>
      </w:pPr>
      <w:r>
        <w:rPr>
          <w:rFonts w:ascii="仿宋_GB2312"/>
          <w:szCs w:val="28"/>
        </w:rPr>
        <w:t>2.</w:t>
      </w:r>
      <w:r>
        <w:rPr>
          <w:rFonts w:hint="eastAsia" w:ascii="仿宋_GB2312"/>
          <w:b w:val="0"/>
          <w:bCs w:val="0"/>
          <w:szCs w:val="28"/>
          <w:lang w:val="en-US" w:eastAsia="zh-CN"/>
        </w:rPr>
        <w:t>建立常态化债券项目申报审核机制。按照“资金跟着项目走”原则，定期梳理、完善、更新债券需求项目，搭建动态发行项目库，从而达到债券项目“即用即发”的效果。</w:t>
      </w:r>
    </w:p>
    <w:p w14:paraId="782672C8">
      <w:pPr>
        <w:spacing w:line="360" w:lineRule="auto"/>
        <w:ind w:firstLine="560"/>
        <w:rPr>
          <w:rFonts w:hint="eastAsia" w:ascii="仿宋_GB2312"/>
          <w:b w:val="0"/>
          <w:bCs w:val="0"/>
          <w:szCs w:val="28"/>
          <w:lang w:val="en-US" w:eastAsia="zh-CN"/>
        </w:rPr>
      </w:pPr>
      <w:r>
        <w:rPr>
          <w:rFonts w:ascii="仿宋_GB2312"/>
          <w:szCs w:val="28"/>
        </w:rPr>
        <w:t>3.</w:t>
      </w:r>
      <w:r>
        <w:rPr>
          <w:rFonts w:hint="eastAsia" w:ascii="仿宋_GB2312"/>
          <w:b w:val="0"/>
          <w:bCs w:val="0"/>
          <w:szCs w:val="28"/>
          <w:lang w:val="en-US" w:eastAsia="zh-CN"/>
        </w:rPr>
        <w:t>强化对地方债券资金使用的监控。压实项目主管部门责任，建立存续期债券项目跟踪管理制度，对专项债券资金借、用、还进行全过程监控。</w:t>
      </w:r>
    </w:p>
    <w:p w14:paraId="56A5A292">
      <w:pPr>
        <w:spacing w:line="360" w:lineRule="auto"/>
        <w:ind w:firstLine="560"/>
        <w:rPr>
          <w:rFonts w:hint="eastAsia" w:ascii="仿宋_GB2312"/>
          <w:b w:val="0"/>
          <w:bCs w:val="0"/>
          <w:szCs w:val="28"/>
          <w:lang w:val="en-US" w:eastAsia="zh-CN"/>
        </w:rPr>
      </w:pPr>
      <w:r>
        <w:rPr>
          <w:rFonts w:ascii="仿宋_GB2312"/>
          <w:szCs w:val="28"/>
        </w:rPr>
        <w:t>4.</w:t>
      </w:r>
      <w:r>
        <w:rPr>
          <w:rFonts w:hint="eastAsia" w:ascii="仿宋_GB2312"/>
          <w:b w:val="0"/>
          <w:bCs w:val="0"/>
          <w:szCs w:val="28"/>
          <w:lang w:val="en-US" w:eastAsia="zh-CN"/>
        </w:rPr>
        <w:t>统一专项债券资金使用穿透式监管办法。为保证债券资金使用安全，建议出台统一的专项债券资金使用管理办法，对项目单位专项债券承接银行、开户要求、使用范围、监督管理、绩效评价等方面作出明确规定。推进专项债券项目分账管理。</w:t>
      </w:r>
    </w:p>
    <w:p w14:paraId="21DE4E46">
      <w:pPr>
        <w:spacing w:line="360" w:lineRule="auto"/>
        <w:ind w:firstLine="0" w:firstLineChars="0"/>
        <w:outlineLvl w:val="0"/>
        <w:rPr>
          <w:rFonts w:ascii="仿宋_GB2312"/>
          <w:szCs w:val="28"/>
        </w:rPr>
      </w:pPr>
      <w:bookmarkStart w:id="42" w:name="_Toc67911620"/>
      <w:bookmarkStart w:id="43" w:name="_Toc4317"/>
      <w:r>
        <w:rPr>
          <w:rFonts w:hint="eastAsia" w:ascii="仿宋_GB2312"/>
          <w:b/>
          <w:bCs/>
          <w:sz w:val="32"/>
          <w:szCs w:val="32"/>
        </w:rPr>
        <w:t>八、</w:t>
      </w:r>
      <w:bookmarkEnd w:id="42"/>
      <w:bookmarkEnd w:id="43"/>
      <w:r>
        <w:rPr>
          <w:rFonts w:hint="eastAsia" w:ascii="仿宋_GB2312"/>
          <w:b/>
          <w:bCs/>
          <w:sz w:val="32"/>
          <w:szCs w:val="32"/>
        </w:rPr>
        <w:t>其他需要说明的问题</w:t>
      </w:r>
    </w:p>
    <w:p w14:paraId="463E24AA">
      <w:pPr>
        <w:ind w:firstLine="600" w:firstLineChars="200"/>
        <w:rPr>
          <w:rFonts w:hint="default"/>
          <w:lang w:val="en-US" w:eastAsia="zh-CN"/>
        </w:rPr>
      </w:pPr>
      <w:r>
        <w:rPr>
          <w:rFonts w:hint="eastAsia"/>
          <w:lang w:val="en-US" w:eastAsia="zh-CN"/>
        </w:rPr>
        <w:t>无。</w:t>
      </w:r>
    </w:p>
    <w:sectPr>
      <w:footerReference r:id="rId10" w:type="default"/>
      <w:footerReference r:id="rId11" w:type="even"/>
      <w:pgSz w:w="11906" w:h="16838"/>
      <w:pgMar w:top="1440" w:right="1800" w:bottom="1440" w:left="1800" w:header="851" w:footer="992" w:gutter="0"/>
      <w:pgNumType w:fmt="numberInDash" w:start="12"/>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modern"/>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198CD">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C24F3">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C664C">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6237461"/>
      <w:docPartObj>
        <w:docPartGallery w:val="autotext"/>
      </w:docPartObj>
    </w:sdtPr>
    <w:sdtEndPr>
      <w:rPr>
        <w:rFonts w:asciiTheme="minorEastAsia" w:hAnsiTheme="minorEastAsia" w:eastAsiaTheme="minorEastAsia"/>
        <w:sz w:val="28"/>
        <w:szCs w:val="28"/>
      </w:rPr>
    </w:sdtEndPr>
    <w:sdtContent>
      <w:p w14:paraId="52A24BAF">
        <w:pPr>
          <w:pStyle w:val="4"/>
          <w:jc w:val="right"/>
        </w:pPr>
        <w:r>
          <w:fldChar w:fldCharType="begin"/>
        </w:r>
        <w:r>
          <w:instrText xml:space="preserve">PAGE   \* MERGEFORMAT</w:instrText>
        </w:r>
        <w: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fldChar w:fldCharType="end"/>
        </w:r>
      </w:p>
    </w:sdtContent>
  </w:sdt>
  <w:p w14:paraId="62C93E21">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5216529"/>
      <w:docPartObj>
        <w:docPartGallery w:val="autotext"/>
      </w:docPartObj>
    </w:sdtPr>
    <w:sdtEndPr>
      <w:rPr>
        <w:rFonts w:asciiTheme="minorEastAsia" w:hAnsiTheme="minorEastAsia" w:eastAsiaTheme="minorEastAsia"/>
        <w:sz w:val="28"/>
        <w:szCs w:val="28"/>
      </w:rPr>
    </w:sdtEndPr>
    <w:sdtContent>
      <w:p w14:paraId="33F9E435">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14:paraId="756D5A6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B9D07">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40FF8">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715F1">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6BCE4">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D6478C"/>
    <w:multiLevelType w:val="singleLevel"/>
    <w:tmpl w:val="2ED6478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1MWY0Nzg0NGZmMmZiYjE5ZGRiOGRjNWFhZjcyNjcifQ=="/>
  </w:docVars>
  <w:rsids>
    <w:rsidRoot w:val="00000000"/>
    <w:rsid w:val="001739AB"/>
    <w:rsid w:val="00775EEE"/>
    <w:rsid w:val="00D577E6"/>
    <w:rsid w:val="051068BF"/>
    <w:rsid w:val="053A13B6"/>
    <w:rsid w:val="05665D07"/>
    <w:rsid w:val="06C64923"/>
    <w:rsid w:val="07FD633F"/>
    <w:rsid w:val="09873DC5"/>
    <w:rsid w:val="0B700E9E"/>
    <w:rsid w:val="0E0E6AF5"/>
    <w:rsid w:val="10C62498"/>
    <w:rsid w:val="10D176AF"/>
    <w:rsid w:val="11621FD4"/>
    <w:rsid w:val="125C7A0C"/>
    <w:rsid w:val="12D41CD8"/>
    <w:rsid w:val="130C4392"/>
    <w:rsid w:val="13A208EB"/>
    <w:rsid w:val="14B051F1"/>
    <w:rsid w:val="16B25A48"/>
    <w:rsid w:val="180F16E3"/>
    <w:rsid w:val="18335F1D"/>
    <w:rsid w:val="18D80C51"/>
    <w:rsid w:val="19643A95"/>
    <w:rsid w:val="1AD339E7"/>
    <w:rsid w:val="1C316C17"/>
    <w:rsid w:val="1C7134B8"/>
    <w:rsid w:val="1CFD6F54"/>
    <w:rsid w:val="1E4500AA"/>
    <w:rsid w:val="210E605D"/>
    <w:rsid w:val="213443B3"/>
    <w:rsid w:val="229E3FE3"/>
    <w:rsid w:val="24925E0F"/>
    <w:rsid w:val="24CC0ED1"/>
    <w:rsid w:val="24D90247"/>
    <w:rsid w:val="24DD54EC"/>
    <w:rsid w:val="25B61F3B"/>
    <w:rsid w:val="2694227D"/>
    <w:rsid w:val="26B83AD1"/>
    <w:rsid w:val="26FB67A0"/>
    <w:rsid w:val="291F2C81"/>
    <w:rsid w:val="2959155B"/>
    <w:rsid w:val="2B7D1EF0"/>
    <w:rsid w:val="2BBC70F1"/>
    <w:rsid w:val="2C950061"/>
    <w:rsid w:val="31756ED7"/>
    <w:rsid w:val="350E769E"/>
    <w:rsid w:val="353C1B7F"/>
    <w:rsid w:val="37460403"/>
    <w:rsid w:val="389E6399"/>
    <w:rsid w:val="3DC7281C"/>
    <w:rsid w:val="3E7E0752"/>
    <w:rsid w:val="404E565D"/>
    <w:rsid w:val="41827116"/>
    <w:rsid w:val="425D1112"/>
    <w:rsid w:val="44354F80"/>
    <w:rsid w:val="4436276D"/>
    <w:rsid w:val="444E5D09"/>
    <w:rsid w:val="44FB75C1"/>
    <w:rsid w:val="454041B2"/>
    <w:rsid w:val="48621D6F"/>
    <w:rsid w:val="494F1D2C"/>
    <w:rsid w:val="4A1277D9"/>
    <w:rsid w:val="4A4A4DCF"/>
    <w:rsid w:val="4DC1014F"/>
    <w:rsid w:val="4DF73F88"/>
    <w:rsid w:val="4E3E562F"/>
    <w:rsid w:val="4E8A7E8A"/>
    <w:rsid w:val="4EB27631"/>
    <w:rsid w:val="514630EE"/>
    <w:rsid w:val="5310480E"/>
    <w:rsid w:val="54227938"/>
    <w:rsid w:val="54C43314"/>
    <w:rsid w:val="592F5CB1"/>
    <w:rsid w:val="5975743C"/>
    <w:rsid w:val="5A874E04"/>
    <w:rsid w:val="5A98367E"/>
    <w:rsid w:val="5AC304AA"/>
    <w:rsid w:val="5AED72F3"/>
    <w:rsid w:val="5AF32D0E"/>
    <w:rsid w:val="5BCD20CF"/>
    <w:rsid w:val="5DF33CD1"/>
    <w:rsid w:val="5E244E0E"/>
    <w:rsid w:val="5F7635B8"/>
    <w:rsid w:val="5FAA746A"/>
    <w:rsid w:val="5FD30920"/>
    <w:rsid w:val="61271964"/>
    <w:rsid w:val="629E2085"/>
    <w:rsid w:val="637D01D7"/>
    <w:rsid w:val="642F125B"/>
    <w:rsid w:val="66961DF9"/>
    <w:rsid w:val="675B32B6"/>
    <w:rsid w:val="678505E7"/>
    <w:rsid w:val="67F06C02"/>
    <w:rsid w:val="6B040620"/>
    <w:rsid w:val="6B5039CA"/>
    <w:rsid w:val="6B68603E"/>
    <w:rsid w:val="6C0C59DE"/>
    <w:rsid w:val="6CD015C4"/>
    <w:rsid w:val="6D3010AF"/>
    <w:rsid w:val="6D4C6A4F"/>
    <w:rsid w:val="70C20263"/>
    <w:rsid w:val="746F1FCD"/>
    <w:rsid w:val="7488523D"/>
    <w:rsid w:val="74D2336D"/>
    <w:rsid w:val="75114065"/>
    <w:rsid w:val="754825D6"/>
    <w:rsid w:val="766C3D46"/>
    <w:rsid w:val="77963B82"/>
    <w:rsid w:val="783B45E7"/>
    <w:rsid w:val="795F169C"/>
    <w:rsid w:val="7A397292"/>
    <w:rsid w:val="7BE73D72"/>
    <w:rsid w:val="7BF33CA5"/>
    <w:rsid w:val="7D284642"/>
    <w:rsid w:val="7EED2D5B"/>
    <w:rsid w:val="7FA70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rPr>
      <w:rFonts w:cs="Times New Roman"/>
      <w:kern w:val="0"/>
      <w:szCs w:val="20"/>
    </w:rPr>
  </w:style>
  <w:style w:type="paragraph" w:styleId="3">
    <w:name w:val="Body Text"/>
    <w:basedOn w:val="1"/>
    <w:qFormat/>
    <w:uiPriority w:val="0"/>
    <w:pPr>
      <w:widowControl/>
    </w:pPr>
    <w:rPr>
      <w:rFonts w:ascii="Times New Roman" w:hAnsi="Times New Roman" w:eastAsia="Times New Roman"/>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Times New Roman" w:hAnsi="Times New Roman" w:eastAsia="宋体" w:cs="Times New Roman"/>
      <w:kern w:val="0"/>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spacing w:after="0"/>
      <w:ind w:firstLine="420" w:firstLineChars="100"/>
    </w:pPr>
    <w:rPr>
      <w:rFonts w:ascii="宋体" w:hAnsi="宋体" w:cs="宋体"/>
      <w:sz w:val="21"/>
      <w:lang w:val="zh-CN" w:bidi="zh-CN"/>
    </w:rPr>
  </w:style>
  <w:style w:type="character" w:styleId="10">
    <w:name w:val="Strong"/>
    <w:basedOn w:val="9"/>
    <w:qFormat/>
    <w:uiPriority w:val="0"/>
    <w:rPr>
      <w:b/>
      <w:bCs/>
    </w:rPr>
  </w:style>
  <w:style w:type="character" w:styleId="11">
    <w:name w:val="annotation reference"/>
    <w:unhideWhenUsed/>
    <w:qFormat/>
    <w:uiPriority w:val="99"/>
    <w:rPr>
      <w:sz w:val="21"/>
      <w:szCs w:val="21"/>
    </w:rPr>
  </w:style>
  <w:style w:type="paragraph" w:customStyle="1" w:styleId="12">
    <w:name w:val="WPSOffice手动目录 1"/>
    <w:qFormat/>
    <w:uiPriority w:val="0"/>
    <w:rPr>
      <w:rFonts w:ascii="等线" w:hAnsi="等线" w:eastAsia="等线" w:cs="Times New Roman"/>
      <w:lang w:val="en-US" w:eastAsia="zh-CN" w:bidi="ar-SA"/>
    </w:rPr>
  </w:style>
  <w:style w:type="paragraph" w:customStyle="1" w:styleId="13">
    <w:name w:val="WPSOffice手动目录 2"/>
    <w:qFormat/>
    <w:uiPriority w:val="0"/>
    <w:pPr>
      <w:ind w:leftChars="200"/>
    </w:pPr>
    <w:rPr>
      <w:rFonts w:ascii="等线" w:hAnsi="等线" w:eastAsia="等线" w:cs="Times New Roman"/>
      <w:lang w:val="en-US" w:eastAsia="zh-CN" w:bidi="ar-SA"/>
    </w:rPr>
  </w:style>
  <w:style w:type="character" w:customStyle="1" w:styleId="14">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4893</Words>
  <Characters>5163</Characters>
  <Lines>0</Lines>
  <Paragraphs>0</Paragraphs>
  <TotalTime>39</TotalTime>
  <ScaleCrop>false</ScaleCrop>
  <LinksUpToDate>false</LinksUpToDate>
  <CharactersWithSpaces>5193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2021-02-23T11:37:00Z</dcterms:created>
  <dc:creator>Administrator</dc:creator>
  <cp:lastModifiedBy>南西.</cp:lastModifiedBy>
  <dcterms:modified xsi:type="dcterms:W3CDTF">2025-09-15T03:25:23Z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BEE46CAF9DB247CCA904EEF6A0F45E4B</vt:lpwstr>
  </property>
  <property fmtid="{D5CDD505-2E9C-101B-9397-08002B2CF9AE}" pid="4" name="KSOTemplateDocerSaveRecord">
    <vt:lpwstr>eyJoZGlkIjoiOWI0M2EyYTkxZjkxODQwMTg2ODNhNjZmYzEyYzNhNzEiLCJ1c2VySWQiOiI2NTU3Njk1MDkifQ==</vt:lpwstr>
  </property>
</Properties>
</file>