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F4697F">
      <w:pPr>
        <w:spacing w:line="480" w:lineRule="auto"/>
        <w:ind w:firstLine="0" w:firstLineChars="0"/>
        <w:rPr>
          <w:rFonts w:hint="eastAsia" w:ascii="Times New Roman" w:hAnsi="Times New Roman" w:eastAsia="黑体" w:cs="Times New Roman"/>
          <w:b/>
          <w:kern w:val="0"/>
          <w:sz w:val="50"/>
          <w:szCs w:val="50"/>
          <w:lang w:bidi="en-US"/>
        </w:rPr>
      </w:pPr>
    </w:p>
    <w:p w14:paraId="3765F763">
      <w:pPr>
        <w:spacing w:line="480" w:lineRule="auto"/>
        <w:ind w:firstLine="0" w:firstLineChars="0"/>
        <w:rPr>
          <w:rFonts w:ascii="Times New Roman" w:hAnsi="Times New Roman" w:eastAsia="黑体" w:cs="Times New Roman"/>
          <w:b/>
          <w:kern w:val="0"/>
          <w:sz w:val="50"/>
          <w:szCs w:val="50"/>
          <w:lang w:bidi="en-US"/>
        </w:rPr>
      </w:pPr>
    </w:p>
    <w:p w14:paraId="2A9F5C10">
      <w:pPr>
        <w:spacing w:line="480" w:lineRule="auto"/>
        <w:ind w:firstLine="0" w:firstLineChars="0"/>
        <w:rPr>
          <w:rFonts w:hint="eastAsia" w:ascii="Times New Roman" w:hAnsi="Times New Roman" w:eastAsia="黑体" w:cs="Times New Roman"/>
          <w:b/>
          <w:kern w:val="0"/>
          <w:sz w:val="50"/>
          <w:szCs w:val="50"/>
          <w:lang w:bidi="en-US"/>
        </w:rPr>
      </w:pPr>
    </w:p>
    <w:p w14:paraId="78E0E895">
      <w:pPr>
        <w:spacing w:line="480" w:lineRule="auto"/>
        <w:ind w:firstLine="0" w:firstLineChars="0"/>
        <w:rPr>
          <w:rFonts w:ascii="Times New Roman" w:hAnsi="Times New Roman" w:eastAsia="黑体" w:cs="Times New Roman"/>
          <w:b/>
          <w:kern w:val="0"/>
          <w:sz w:val="50"/>
          <w:szCs w:val="50"/>
          <w:lang w:bidi="en-US"/>
        </w:rPr>
      </w:pPr>
    </w:p>
    <w:p w14:paraId="25674070">
      <w:pPr>
        <w:spacing w:line="480" w:lineRule="auto"/>
        <w:ind w:firstLine="0" w:firstLineChars="0"/>
        <w:jc w:val="center"/>
        <w:rPr>
          <w:rFonts w:ascii="Times New Roman" w:hAnsi="Times New Roman" w:eastAsia="黑体" w:cs="Times New Roman"/>
          <w:b/>
          <w:kern w:val="0"/>
          <w:sz w:val="50"/>
          <w:szCs w:val="50"/>
          <w:lang w:bidi="en-US"/>
        </w:rPr>
      </w:pPr>
    </w:p>
    <w:p w14:paraId="023AA078">
      <w:pPr>
        <w:spacing w:before="120" w:after="120" w:line="480" w:lineRule="auto"/>
        <w:ind w:firstLine="0" w:firstLineChars="0"/>
        <w:jc w:val="center"/>
        <w:rPr>
          <w:rFonts w:ascii="仿宋_GB2312" w:hAnsi="Arial"/>
          <w:b/>
          <w:sz w:val="44"/>
          <w:szCs w:val="44"/>
        </w:rPr>
      </w:pPr>
      <w:r>
        <w:rPr>
          <w:rFonts w:hint="eastAsia" w:ascii="仿宋_GB2312" w:hAnsi="Arial"/>
          <w:b/>
          <w:sz w:val="44"/>
          <w:szCs w:val="44"/>
        </w:rPr>
        <w:t>项目支出绩效评价报告</w:t>
      </w:r>
    </w:p>
    <w:p w14:paraId="5E3FAF73">
      <w:pPr>
        <w:spacing w:before="120" w:after="120" w:line="480" w:lineRule="auto"/>
        <w:ind w:firstLine="0" w:firstLineChars="0"/>
        <w:jc w:val="center"/>
        <w:rPr>
          <w:rFonts w:hint="eastAsia" w:ascii="仿宋_GB2312" w:hAnsi="Arial"/>
          <w:b/>
          <w:sz w:val="44"/>
          <w:szCs w:val="44"/>
        </w:rPr>
      </w:pPr>
      <w:r>
        <w:rPr>
          <w:rFonts w:hint="eastAsia" w:ascii="仿宋_GB2312" w:hAnsi="Arial"/>
          <w:b/>
          <w:sz w:val="44"/>
          <w:szCs w:val="44"/>
        </w:rPr>
        <w:t>（202</w:t>
      </w:r>
      <w:r>
        <w:rPr>
          <w:rFonts w:ascii="仿宋_GB2312" w:hAnsi="Arial"/>
          <w:b/>
          <w:sz w:val="44"/>
          <w:szCs w:val="44"/>
        </w:rPr>
        <w:t>2</w:t>
      </w:r>
      <w:r>
        <w:rPr>
          <w:rFonts w:hint="eastAsia" w:ascii="仿宋_GB2312" w:hAnsi="Arial"/>
          <w:b/>
          <w:sz w:val="44"/>
          <w:szCs w:val="44"/>
        </w:rPr>
        <w:t>年度）</w:t>
      </w:r>
    </w:p>
    <w:p w14:paraId="38D4181A">
      <w:pPr>
        <w:spacing w:line="480" w:lineRule="auto"/>
        <w:ind w:firstLine="0" w:firstLineChars="0"/>
        <w:jc w:val="center"/>
        <w:rPr>
          <w:rFonts w:ascii="Times New Roman" w:hAnsi="Times New Roman" w:eastAsia="黑体" w:cs="Times New Roman"/>
          <w:b/>
          <w:kern w:val="0"/>
          <w:sz w:val="50"/>
          <w:szCs w:val="50"/>
          <w:lang w:bidi="en-US"/>
        </w:rPr>
      </w:pPr>
    </w:p>
    <w:p w14:paraId="72FAEBDF">
      <w:pPr>
        <w:spacing w:line="480" w:lineRule="auto"/>
        <w:ind w:firstLine="0" w:firstLineChars="0"/>
        <w:jc w:val="center"/>
        <w:rPr>
          <w:rFonts w:ascii="Times New Roman" w:hAnsi="Times New Roman" w:eastAsia="黑体" w:cs="Times New Roman"/>
          <w:b/>
          <w:kern w:val="0"/>
          <w:sz w:val="50"/>
          <w:szCs w:val="50"/>
          <w:lang w:bidi="en-US"/>
        </w:rPr>
      </w:pPr>
    </w:p>
    <w:p w14:paraId="40A5FED2">
      <w:pPr>
        <w:spacing w:line="480" w:lineRule="auto"/>
        <w:ind w:firstLine="0" w:firstLineChars="0"/>
        <w:jc w:val="center"/>
        <w:rPr>
          <w:rFonts w:ascii="Times New Roman" w:hAnsi="Times New Roman" w:eastAsia="黑体" w:cs="Times New Roman"/>
          <w:b/>
          <w:kern w:val="0"/>
          <w:sz w:val="50"/>
          <w:szCs w:val="50"/>
          <w:lang w:bidi="en-US"/>
        </w:rPr>
      </w:pPr>
    </w:p>
    <w:p w14:paraId="0DF3B041">
      <w:pPr>
        <w:spacing w:line="480" w:lineRule="auto"/>
        <w:ind w:firstLine="0" w:firstLineChars="0"/>
        <w:jc w:val="center"/>
        <w:rPr>
          <w:rFonts w:ascii="Times New Roman" w:hAnsi="Times New Roman" w:eastAsia="黑体" w:cs="Times New Roman"/>
          <w:b/>
          <w:kern w:val="0"/>
          <w:sz w:val="50"/>
          <w:szCs w:val="50"/>
          <w:lang w:bidi="en-US"/>
        </w:rPr>
      </w:pPr>
    </w:p>
    <w:p w14:paraId="05844598">
      <w:pPr>
        <w:spacing w:line="480" w:lineRule="auto"/>
        <w:ind w:firstLine="0" w:firstLineChars="0"/>
        <w:jc w:val="center"/>
        <w:rPr>
          <w:rFonts w:hint="eastAsia" w:ascii="Times New Roman" w:hAnsi="Times New Roman" w:eastAsia="黑体" w:cs="Times New Roman"/>
          <w:b/>
          <w:kern w:val="0"/>
          <w:sz w:val="50"/>
          <w:szCs w:val="50"/>
          <w:lang w:bidi="en-US"/>
        </w:rPr>
      </w:pPr>
    </w:p>
    <w:p w14:paraId="07C10087">
      <w:pPr>
        <w:spacing w:line="480" w:lineRule="auto"/>
        <w:ind w:firstLine="0" w:firstLineChars="0"/>
        <w:jc w:val="center"/>
        <w:rPr>
          <w:rFonts w:ascii="Times New Roman" w:hAnsi="Times New Roman" w:eastAsia="黑体" w:cs="Times New Roman"/>
          <w:b/>
          <w:kern w:val="0"/>
          <w:sz w:val="50"/>
          <w:szCs w:val="50"/>
          <w:lang w:bidi="en-US"/>
        </w:rPr>
      </w:pPr>
    </w:p>
    <w:p w14:paraId="2692B306">
      <w:pPr>
        <w:spacing w:line="480" w:lineRule="auto"/>
        <w:ind w:firstLine="0" w:firstLineChars="0"/>
        <w:jc w:val="center"/>
        <w:rPr>
          <w:rFonts w:ascii="仿宋_GB2312" w:hAnsi="Times New Roman" w:cs="Times New Roman"/>
          <w:kern w:val="0"/>
          <w:sz w:val="30"/>
          <w:szCs w:val="30"/>
          <w:lang w:bidi="en-US"/>
        </w:rPr>
      </w:pPr>
    </w:p>
    <w:p w14:paraId="47D63C24">
      <w:pPr>
        <w:spacing w:line="480" w:lineRule="auto"/>
        <w:ind w:firstLine="1411" w:firstLineChars="4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项目名称：</w:t>
      </w:r>
      <w:r>
        <w:rPr>
          <w:rFonts w:hint="eastAsia" w:ascii="仿宋_GB2312" w:hAnsi="仿宋" w:eastAsia="仿宋_GB2312" w:cs="宋体"/>
          <w:sz w:val="30"/>
          <w:szCs w:val="30"/>
        </w:rPr>
        <w:t>额敏县集中供热换热站提标改造工程</w:t>
      </w:r>
      <w:r>
        <w:rPr>
          <w:rFonts w:ascii="仿宋_GB2312" w:hAnsi="Times New Roman" w:cs="Times New Roman"/>
          <w:kern w:val="0"/>
          <w:sz w:val="32"/>
          <w:szCs w:val="32"/>
          <w:lang w:bidi="en-US"/>
        </w:rPr>
        <w:t xml:space="preserve"> </w:t>
      </w:r>
    </w:p>
    <w:p w14:paraId="4ABB7035">
      <w:pPr>
        <w:spacing w:line="480" w:lineRule="auto"/>
        <w:ind w:firstLine="1411" w:firstLineChars="441"/>
        <w:jc w:val="left"/>
        <w:rPr>
          <w:rFonts w:hint="default" w:ascii="仿宋_GB2312" w:hAnsi="Times New Roman" w:eastAsia="仿宋_GB2312" w:cs="Times New Roman"/>
          <w:kern w:val="0"/>
          <w:sz w:val="32"/>
          <w:szCs w:val="32"/>
          <w:lang w:val="en-US" w:eastAsia="zh-CN" w:bidi="en-US"/>
        </w:rPr>
      </w:pPr>
      <w:r>
        <w:rPr>
          <w:rFonts w:hint="eastAsia" w:ascii="仿宋_GB2312" w:hAnsi="Times New Roman" w:cs="Times New Roman"/>
          <w:kern w:val="0"/>
          <w:sz w:val="32"/>
          <w:szCs w:val="32"/>
          <w:lang w:bidi="en-US"/>
        </w:rPr>
        <w:t>实施单位（公章）：</w:t>
      </w:r>
      <w:r>
        <w:rPr>
          <w:rFonts w:hint="eastAsia" w:ascii="仿宋_GB2312" w:hAnsi="Times New Roman" w:cs="Times New Roman"/>
          <w:kern w:val="0"/>
          <w:sz w:val="32"/>
          <w:szCs w:val="32"/>
          <w:lang w:val="en-US" w:eastAsia="zh-CN" w:bidi="en-US"/>
        </w:rPr>
        <w:t>额敏县住房和城乡建设局</w:t>
      </w:r>
    </w:p>
    <w:p w14:paraId="42FFE924">
      <w:pPr>
        <w:spacing w:line="480" w:lineRule="auto"/>
        <w:ind w:firstLine="1411" w:firstLineChars="4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主管部门（公章）：</w:t>
      </w:r>
      <w:r>
        <w:rPr>
          <w:rFonts w:ascii="仿宋_GB2312" w:hAnsi="Times New Roman" w:cs="Times New Roman"/>
          <w:kern w:val="0"/>
          <w:sz w:val="32"/>
          <w:szCs w:val="32"/>
          <w:lang w:bidi="en-US"/>
        </w:rPr>
        <w:t xml:space="preserve"> </w:t>
      </w:r>
    </w:p>
    <w:p w14:paraId="1B9919DD">
      <w:pPr>
        <w:spacing w:line="480" w:lineRule="auto"/>
        <w:ind w:firstLine="1411" w:firstLineChars="4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项目负责人（签章）：</w:t>
      </w:r>
      <w:r>
        <w:rPr>
          <w:rFonts w:ascii="仿宋_GB2312" w:hAnsi="Times New Roman" w:cs="Times New Roman"/>
          <w:kern w:val="0"/>
          <w:sz w:val="32"/>
          <w:szCs w:val="32"/>
          <w:lang w:bidi="en-US"/>
        </w:rPr>
        <w:t xml:space="preserve"> </w:t>
      </w:r>
    </w:p>
    <w:p w14:paraId="43AD927E">
      <w:pPr>
        <w:spacing w:line="480" w:lineRule="auto"/>
        <w:ind w:firstLine="1411" w:firstLineChars="4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填报时间：202</w:t>
      </w:r>
      <w:r>
        <w:rPr>
          <w:rFonts w:ascii="仿宋_GB2312" w:hAnsi="Times New Roman" w:cs="Times New Roman"/>
          <w:kern w:val="0"/>
          <w:sz w:val="32"/>
          <w:szCs w:val="32"/>
          <w:lang w:bidi="en-US"/>
        </w:rPr>
        <w:t>3</w:t>
      </w:r>
      <w:r>
        <w:rPr>
          <w:rFonts w:hint="eastAsia" w:ascii="仿宋_GB2312" w:hAnsi="Times New Roman" w:cs="Times New Roman"/>
          <w:kern w:val="0"/>
          <w:sz w:val="32"/>
          <w:szCs w:val="32"/>
          <w:lang w:bidi="en-US"/>
        </w:rPr>
        <w:t>年</w:t>
      </w:r>
      <w:r>
        <w:rPr>
          <w:rFonts w:ascii="仿宋_GB2312" w:hAnsi="Times New Roman" w:cs="Times New Roman"/>
          <w:kern w:val="0"/>
          <w:sz w:val="32"/>
          <w:szCs w:val="32"/>
          <w:lang w:bidi="en-US"/>
        </w:rPr>
        <w:t>2</w:t>
      </w:r>
      <w:r>
        <w:rPr>
          <w:rFonts w:hint="eastAsia" w:ascii="仿宋_GB2312" w:hAnsi="Times New Roman" w:cs="Times New Roman"/>
          <w:kern w:val="0"/>
          <w:sz w:val="32"/>
          <w:szCs w:val="32"/>
          <w:lang w:bidi="en-US"/>
        </w:rPr>
        <w:t>月</w:t>
      </w:r>
    </w:p>
    <w:p w14:paraId="6D6BC8EC">
      <w:pPr>
        <w:ind w:firstLine="640"/>
        <w:rPr>
          <w:rFonts w:ascii="仿宋_GB2312" w:hAnsi="Times New Roman" w:cs="Times New Roman"/>
          <w:kern w:val="0"/>
          <w:sz w:val="32"/>
          <w:szCs w:val="32"/>
          <w:lang w:bidi="en-US"/>
        </w:rPr>
      </w:pPr>
    </w:p>
    <w:p w14:paraId="0649AFCB">
      <w:pPr>
        <w:ind w:firstLine="640"/>
        <w:rPr>
          <w:rFonts w:ascii="仿宋_GB2312" w:hAnsi="Times New Roman" w:cs="Times New Roman"/>
          <w:sz w:val="32"/>
          <w:szCs w:val="32"/>
          <w:lang w:bidi="en-US"/>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14:paraId="21724825">
      <w:pPr>
        <w:tabs>
          <w:tab w:val="left" w:pos="1224"/>
        </w:tabs>
        <w:ind w:firstLine="0" w:firstLineChars="0"/>
        <w:jc w:val="center"/>
        <w:rPr>
          <w:rStyle w:val="11"/>
        </w:rPr>
      </w:pPr>
      <w:r>
        <w:rPr>
          <w:rFonts w:hint="eastAsia"/>
          <w:b/>
          <w:bCs/>
        </w:rPr>
        <w:t xml:space="preserve">目 </w:t>
      </w:r>
      <w:r>
        <w:rPr>
          <w:b/>
          <w:bCs/>
        </w:rPr>
        <w:t xml:space="preserve"> </w:t>
      </w:r>
      <w:r>
        <w:rPr>
          <w:rFonts w:hint="eastAsia"/>
          <w:b/>
          <w:bCs/>
        </w:rPr>
        <w:t>录</w:t>
      </w:r>
    </w:p>
    <w:p w14:paraId="5A132930">
      <w:pPr>
        <w:ind w:firstLine="0" w:firstLineChars="0"/>
        <w:jc w:val="center"/>
      </w:pPr>
      <w:r>
        <w:rPr>
          <w:rFonts w:ascii="宋体" w:hAnsi="宋体" w:eastAsia="宋体"/>
          <w:sz w:val="21"/>
        </w:rPr>
        <w:t>目录</w:t>
      </w:r>
    </w:p>
    <w:p w14:paraId="21378FD1">
      <w:pPr>
        <w:pStyle w:val="12"/>
        <w:tabs>
          <w:tab w:val="right" w:leader="dot" w:pos="8306"/>
        </w:tabs>
        <w:spacing w:line="560" w:lineRule="exact"/>
        <w:rPr>
          <w:rFonts w:hint="eastAsia" w:ascii="仿宋" w:hAnsi="仿宋" w:eastAsia="仿宋" w:cs="仿宋"/>
          <w:b/>
          <w:sz w:val="32"/>
          <w:szCs w:val="32"/>
        </w:rPr>
      </w:pPr>
      <w:r>
        <w:rPr>
          <w:rFonts w:hint="eastAsia" w:ascii="仿宋" w:hAnsi="仿宋" w:eastAsia="仿宋" w:cs="仿宋"/>
          <w:sz w:val="36"/>
          <w:szCs w:val="36"/>
        </w:rPr>
        <w:fldChar w:fldCharType="begin"/>
      </w:r>
      <w:r>
        <w:rPr>
          <w:rStyle w:val="11"/>
          <w:rFonts w:hint="eastAsia" w:ascii="仿宋" w:hAnsi="仿宋" w:eastAsia="仿宋" w:cs="仿宋"/>
          <w:sz w:val="36"/>
          <w:szCs w:val="36"/>
        </w:rPr>
        <w:instrText xml:space="preserve">TOC \o "1-2" \h \u </w:instrText>
      </w:r>
      <w:r>
        <w:rPr>
          <w:rFonts w:hint="eastAsia" w:ascii="仿宋" w:hAnsi="仿宋" w:eastAsia="仿宋" w:cs="仿宋"/>
          <w:sz w:val="36"/>
          <w:szCs w:val="36"/>
        </w:rPr>
        <w:fldChar w:fldCharType="separate"/>
      </w: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HYPERLINK \l _Toc13154 </w:instrText>
      </w:r>
      <w:r>
        <w:rPr>
          <w:rFonts w:hint="eastAsia" w:ascii="仿宋" w:hAnsi="仿宋" w:eastAsia="仿宋" w:cs="仿宋"/>
          <w:b/>
          <w:sz w:val="32"/>
          <w:szCs w:val="32"/>
        </w:rPr>
        <w:fldChar w:fldCharType="separate"/>
      </w:r>
      <w:r>
        <w:rPr>
          <w:rFonts w:hint="eastAsia" w:ascii="仿宋" w:hAnsi="仿宋" w:eastAsia="仿宋" w:cs="仿宋"/>
          <w:b/>
          <w:bCs/>
          <w:sz w:val="32"/>
          <w:szCs w:val="52"/>
          <w:lang w:bidi="en-US"/>
        </w:rPr>
        <w:t>一、基本情况</w:t>
      </w:r>
      <w:r>
        <w:rPr>
          <w:rFonts w:hint="eastAsia" w:ascii="仿宋" w:hAnsi="仿宋" w:eastAsia="仿宋" w:cs="仿宋"/>
          <w:b/>
          <w:sz w:val="32"/>
          <w:szCs w:val="32"/>
        </w:rPr>
        <w:tab/>
      </w: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PAGEREF _Toc13154 </w:instrText>
      </w:r>
      <w:r>
        <w:rPr>
          <w:rFonts w:hint="eastAsia" w:ascii="仿宋" w:hAnsi="仿宋" w:eastAsia="仿宋" w:cs="仿宋"/>
          <w:b/>
          <w:sz w:val="32"/>
          <w:szCs w:val="32"/>
        </w:rPr>
        <w:fldChar w:fldCharType="separate"/>
      </w:r>
      <w:r>
        <w:rPr>
          <w:rFonts w:hint="eastAsia" w:ascii="仿宋" w:hAnsi="仿宋" w:eastAsia="仿宋" w:cs="仿宋"/>
          <w:b/>
          <w:sz w:val="32"/>
          <w:szCs w:val="32"/>
        </w:rPr>
        <w:t>1</w:t>
      </w:r>
      <w:r>
        <w:rPr>
          <w:rFonts w:hint="eastAsia" w:ascii="仿宋" w:hAnsi="仿宋" w:eastAsia="仿宋" w:cs="仿宋"/>
          <w:b/>
          <w:sz w:val="32"/>
          <w:szCs w:val="32"/>
        </w:rPr>
        <w:fldChar w:fldCharType="end"/>
      </w:r>
      <w:r>
        <w:rPr>
          <w:rFonts w:hint="eastAsia" w:ascii="仿宋" w:hAnsi="仿宋" w:eastAsia="仿宋" w:cs="仿宋"/>
          <w:b/>
          <w:sz w:val="32"/>
          <w:szCs w:val="32"/>
        </w:rPr>
        <w:fldChar w:fldCharType="end"/>
      </w:r>
    </w:p>
    <w:p w14:paraId="732C7C7A">
      <w:pPr>
        <w:pStyle w:val="13"/>
        <w:tabs>
          <w:tab w:val="right" w:leader="dot" w:pos="8306"/>
        </w:tabs>
        <w:spacing w:line="560" w:lineRule="exact"/>
        <w:ind w:left="56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_Toc2044 </w:instrText>
      </w:r>
      <w:r>
        <w:rPr>
          <w:rFonts w:hint="eastAsia" w:ascii="仿宋" w:hAnsi="仿宋" w:eastAsia="仿宋" w:cs="仿宋"/>
          <w:sz w:val="32"/>
          <w:szCs w:val="32"/>
        </w:rPr>
        <w:fldChar w:fldCharType="separate"/>
      </w:r>
      <w:r>
        <w:rPr>
          <w:rFonts w:hint="eastAsia" w:ascii="仿宋" w:hAnsi="仿宋" w:eastAsia="仿宋" w:cs="仿宋"/>
          <w:bCs/>
          <w:sz w:val="32"/>
          <w:szCs w:val="48"/>
          <w:lang w:bidi="en-US"/>
        </w:rPr>
        <w:t>（一）项目概况：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_Toc2044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6C1522CC">
      <w:pPr>
        <w:pStyle w:val="13"/>
        <w:tabs>
          <w:tab w:val="right" w:leader="dot" w:pos="8306"/>
        </w:tabs>
        <w:spacing w:line="560" w:lineRule="exact"/>
        <w:ind w:left="56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_Toc4316 </w:instrText>
      </w:r>
      <w:r>
        <w:rPr>
          <w:rFonts w:hint="eastAsia" w:ascii="仿宋" w:hAnsi="仿宋" w:eastAsia="仿宋" w:cs="仿宋"/>
          <w:sz w:val="32"/>
          <w:szCs w:val="32"/>
        </w:rPr>
        <w:fldChar w:fldCharType="separate"/>
      </w:r>
      <w:r>
        <w:rPr>
          <w:rFonts w:hint="eastAsia" w:ascii="仿宋" w:hAnsi="仿宋" w:eastAsia="仿宋" w:cs="仿宋"/>
          <w:bCs/>
          <w:sz w:val="32"/>
          <w:szCs w:val="48"/>
          <w:lang w:bidi="en-US"/>
        </w:rPr>
        <w:t>（二）项目绩效目标：</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_Toc4316 </w:instrText>
      </w:r>
      <w:r>
        <w:rPr>
          <w:rFonts w:hint="eastAsia" w:ascii="仿宋" w:hAnsi="仿宋" w:eastAsia="仿宋" w:cs="仿宋"/>
          <w:sz w:val="32"/>
          <w:szCs w:val="32"/>
        </w:rPr>
        <w:fldChar w:fldCharType="separate"/>
      </w:r>
      <w:r>
        <w:rPr>
          <w:rFonts w:hint="eastAsia" w:ascii="仿宋" w:hAnsi="仿宋" w:eastAsia="仿宋" w:cs="仿宋"/>
          <w:sz w:val="32"/>
          <w:szCs w:val="32"/>
        </w:rPr>
        <w:t>2</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23814FF0">
      <w:pPr>
        <w:pStyle w:val="12"/>
        <w:tabs>
          <w:tab w:val="right" w:leader="dot" w:pos="8306"/>
        </w:tabs>
        <w:spacing w:line="560" w:lineRule="exact"/>
        <w:rPr>
          <w:rFonts w:hint="eastAsia" w:ascii="仿宋" w:hAnsi="仿宋" w:eastAsia="仿宋" w:cs="仿宋"/>
          <w:b/>
          <w:sz w:val="32"/>
          <w:szCs w:val="32"/>
        </w:rPr>
      </w:pP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HYPERLINK \l _Toc7851 </w:instrText>
      </w:r>
      <w:r>
        <w:rPr>
          <w:rFonts w:hint="eastAsia" w:ascii="仿宋" w:hAnsi="仿宋" w:eastAsia="仿宋" w:cs="仿宋"/>
          <w:b/>
          <w:sz w:val="32"/>
          <w:szCs w:val="32"/>
        </w:rPr>
        <w:fldChar w:fldCharType="separate"/>
      </w:r>
      <w:r>
        <w:rPr>
          <w:rFonts w:hint="eastAsia" w:ascii="仿宋" w:hAnsi="仿宋" w:eastAsia="仿宋" w:cs="仿宋"/>
          <w:b/>
          <w:bCs/>
          <w:sz w:val="32"/>
          <w:szCs w:val="52"/>
        </w:rPr>
        <w:t>二、绩效评价工作开展情况</w:t>
      </w:r>
      <w:r>
        <w:rPr>
          <w:rFonts w:hint="eastAsia" w:ascii="仿宋" w:hAnsi="仿宋" w:eastAsia="仿宋" w:cs="仿宋"/>
          <w:b/>
          <w:sz w:val="32"/>
          <w:szCs w:val="32"/>
        </w:rPr>
        <w:tab/>
      </w: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PAGEREF _Toc7851 </w:instrText>
      </w:r>
      <w:r>
        <w:rPr>
          <w:rFonts w:hint="eastAsia" w:ascii="仿宋" w:hAnsi="仿宋" w:eastAsia="仿宋" w:cs="仿宋"/>
          <w:b/>
          <w:sz w:val="32"/>
          <w:szCs w:val="32"/>
        </w:rPr>
        <w:fldChar w:fldCharType="separate"/>
      </w:r>
      <w:r>
        <w:rPr>
          <w:rFonts w:hint="eastAsia" w:ascii="仿宋" w:hAnsi="仿宋" w:eastAsia="仿宋" w:cs="仿宋"/>
          <w:b/>
          <w:sz w:val="32"/>
          <w:szCs w:val="32"/>
        </w:rPr>
        <w:t>3</w:t>
      </w:r>
      <w:r>
        <w:rPr>
          <w:rFonts w:hint="eastAsia" w:ascii="仿宋" w:hAnsi="仿宋" w:eastAsia="仿宋" w:cs="仿宋"/>
          <w:b/>
          <w:sz w:val="32"/>
          <w:szCs w:val="32"/>
        </w:rPr>
        <w:fldChar w:fldCharType="end"/>
      </w:r>
      <w:r>
        <w:rPr>
          <w:rFonts w:hint="eastAsia" w:ascii="仿宋" w:hAnsi="仿宋" w:eastAsia="仿宋" w:cs="仿宋"/>
          <w:b/>
          <w:sz w:val="32"/>
          <w:szCs w:val="32"/>
        </w:rPr>
        <w:fldChar w:fldCharType="end"/>
      </w:r>
    </w:p>
    <w:p w14:paraId="01BCB74B">
      <w:pPr>
        <w:pStyle w:val="13"/>
        <w:tabs>
          <w:tab w:val="right" w:leader="dot" w:pos="8306"/>
        </w:tabs>
        <w:spacing w:line="560" w:lineRule="exact"/>
        <w:ind w:left="56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_Toc20568 </w:instrText>
      </w:r>
      <w:r>
        <w:rPr>
          <w:rFonts w:hint="eastAsia" w:ascii="仿宋" w:hAnsi="仿宋" w:eastAsia="仿宋" w:cs="仿宋"/>
          <w:sz w:val="32"/>
          <w:szCs w:val="32"/>
        </w:rPr>
        <w:fldChar w:fldCharType="separate"/>
      </w:r>
      <w:r>
        <w:rPr>
          <w:rFonts w:hint="eastAsia" w:ascii="仿宋" w:hAnsi="仿宋" w:eastAsia="仿宋" w:cs="仿宋"/>
          <w:bCs/>
          <w:sz w:val="32"/>
          <w:szCs w:val="48"/>
        </w:rPr>
        <w:t>（一）绩效评价目的、对象和范围</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_Toc20568 </w:instrText>
      </w:r>
      <w:r>
        <w:rPr>
          <w:rFonts w:hint="eastAsia" w:ascii="仿宋" w:hAnsi="仿宋" w:eastAsia="仿宋" w:cs="仿宋"/>
          <w:sz w:val="32"/>
          <w:szCs w:val="32"/>
        </w:rPr>
        <w:fldChar w:fldCharType="separate"/>
      </w:r>
      <w:r>
        <w:rPr>
          <w:rFonts w:hint="eastAsia" w:ascii="仿宋" w:hAnsi="仿宋" w:eastAsia="仿宋" w:cs="仿宋"/>
          <w:sz w:val="32"/>
          <w:szCs w:val="32"/>
        </w:rPr>
        <w:t>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75A87106">
      <w:pPr>
        <w:pStyle w:val="13"/>
        <w:tabs>
          <w:tab w:val="right" w:leader="dot" w:pos="8306"/>
        </w:tabs>
        <w:spacing w:line="560" w:lineRule="exact"/>
        <w:ind w:left="56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_Toc23646 </w:instrText>
      </w:r>
      <w:r>
        <w:rPr>
          <w:rFonts w:hint="eastAsia" w:ascii="仿宋" w:hAnsi="仿宋" w:eastAsia="仿宋" w:cs="仿宋"/>
          <w:sz w:val="32"/>
          <w:szCs w:val="32"/>
        </w:rPr>
        <w:fldChar w:fldCharType="separate"/>
      </w:r>
      <w:r>
        <w:rPr>
          <w:rFonts w:hint="eastAsia" w:ascii="仿宋" w:hAnsi="仿宋" w:eastAsia="仿宋" w:cs="仿宋"/>
          <w:bCs/>
          <w:sz w:val="32"/>
          <w:szCs w:val="32"/>
        </w:rPr>
        <w:t>（二）绩效评价原则、指标体系、方法及标准</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_Toc23646 </w:instrText>
      </w:r>
      <w:r>
        <w:rPr>
          <w:rFonts w:hint="eastAsia" w:ascii="仿宋" w:hAnsi="仿宋" w:eastAsia="仿宋" w:cs="仿宋"/>
          <w:sz w:val="32"/>
          <w:szCs w:val="32"/>
        </w:rPr>
        <w:fldChar w:fldCharType="separate"/>
      </w:r>
      <w:r>
        <w:rPr>
          <w:rFonts w:hint="eastAsia" w:ascii="仿宋" w:hAnsi="仿宋" w:eastAsia="仿宋" w:cs="仿宋"/>
          <w:sz w:val="32"/>
          <w:szCs w:val="32"/>
        </w:rPr>
        <w:t>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63BAECBB">
      <w:pPr>
        <w:pStyle w:val="13"/>
        <w:tabs>
          <w:tab w:val="right" w:leader="dot" w:pos="8306"/>
        </w:tabs>
        <w:spacing w:line="560" w:lineRule="exact"/>
        <w:ind w:left="56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_Toc12695 </w:instrText>
      </w:r>
      <w:r>
        <w:rPr>
          <w:rFonts w:hint="eastAsia" w:ascii="仿宋" w:hAnsi="仿宋" w:eastAsia="仿宋" w:cs="仿宋"/>
          <w:sz w:val="32"/>
          <w:szCs w:val="32"/>
        </w:rPr>
        <w:fldChar w:fldCharType="separate"/>
      </w:r>
      <w:r>
        <w:rPr>
          <w:rFonts w:hint="eastAsia" w:ascii="仿宋" w:hAnsi="仿宋" w:eastAsia="仿宋" w:cs="仿宋"/>
          <w:bCs/>
          <w:sz w:val="32"/>
          <w:szCs w:val="32"/>
        </w:rPr>
        <w:t>（三）绩效评价工作过程</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_Toc12695 </w:instrText>
      </w:r>
      <w:r>
        <w:rPr>
          <w:rFonts w:hint="eastAsia" w:ascii="仿宋" w:hAnsi="仿宋" w:eastAsia="仿宋" w:cs="仿宋"/>
          <w:sz w:val="32"/>
          <w:szCs w:val="32"/>
        </w:rPr>
        <w:fldChar w:fldCharType="separate"/>
      </w:r>
      <w:r>
        <w:rPr>
          <w:rFonts w:hint="eastAsia" w:ascii="仿宋" w:hAnsi="仿宋" w:eastAsia="仿宋" w:cs="仿宋"/>
          <w:sz w:val="32"/>
          <w:szCs w:val="32"/>
        </w:rPr>
        <w:t>12</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0E79371D">
      <w:pPr>
        <w:pStyle w:val="12"/>
        <w:tabs>
          <w:tab w:val="right" w:leader="dot" w:pos="8306"/>
        </w:tabs>
        <w:spacing w:line="560" w:lineRule="exact"/>
        <w:rPr>
          <w:rFonts w:hint="eastAsia" w:ascii="仿宋" w:hAnsi="仿宋" w:eastAsia="仿宋" w:cs="仿宋"/>
          <w:b/>
          <w:sz w:val="32"/>
          <w:szCs w:val="32"/>
        </w:rPr>
      </w:pP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HYPERLINK \l _Toc28860 </w:instrText>
      </w:r>
      <w:r>
        <w:rPr>
          <w:rFonts w:hint="eastAsia" w:ascii="仿宋" w:hAnsi="仿宋" w:eastAsia="仿宋" w:cs="仿宋"/>
          <w:b/>
          <w:sz w:val="32"/>
          <w:szCs w:val="32"/>
        </w:rPr>
        <w:fldChar w:fldCharType="separate"/>
      </w:r>
      <w:r>
        <w:rPr>
          <w:rFonts w:hint="eastAsia" w:ascii="仿宋" w:hAnsi="仿宋" w:eastAsia="仿宋" w:cs="仿宋"/>
          <w:b/>
          <w:bCs/>
          <w:sz w:val="32"/>
          <w:szCs w:val="52"/>
        </w:rPr>
        <w:t>三、综合评价情况及评价结论</w:t>
      </w:r>
      <w:r>
        <w:rPr>
          <w:rFonts w:hint="eastAsia" w:ascii="仿宋" w:hAnsi="仿宋" w:eastAsia="仿宋" w:cs="仿宋"/>
          <w:b/>
          <w:sz w:val="32"/>
          <w:szCs w:val="32"/>
        </w:rPr>
        <w:tab/>
      </w: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PAGEREF _Toc28860 </w:instrText>
      </w:r>
      <w:r>
        <w:rPr>
          <w:rFonts w:hint="eastAsia" w:ascii="仿宋" w:hAnsi="仿宋" w:eastAsia="仿宋" w:cs="仿宋"/>
          <w:b/>
          <w:sz w:val="32"/>
          <w:szCs w:val="32"/>
        </w:rPr>
        <w:fldChar w:fldCharType="separate"/>
      </w:r>
      <w:r>
        <w:rPr>
          <w:rFonts w:hint="eastAsia" w:ascii="仿宋" w:hAnsi="仿宋" w:eastAsia="仿宋" w:cs="仿宋"/>
          <w:b/>
          <w:sz w:val="32"/>
          <w:szCs w:val="32"/>
        </w:rPr>
        <w:t>13</w:t>
      </w:r>
      <w:r>
        <w:rPr>
          <w:rFonts w:hint="eastAsia" w:ascii="仿宋" w:hAnsi="仿宋" w:eastAsia="仿宋" w:cs="仿宋"/>
          <w:b/>
          <w:sz w:val="32"/>
          <w:szCs w:val="32"/>
        </w:rPr>
        <w:fldChar w:fldCharType="end"/>
      </w:r>
      <w:r>
        <w:rPr>
          <w:rFonts w:hint="eastAsia" w:ascii="仿宋" w:hAnsi="仿宋" w:eastAsia="仿宋" w:cs="仿宋"/>
          <w:b/>
          <w:sz w:val="32"/>
          <w:szCs w:val="32"/>
        </w:rPr>
        <w:fldChar w:fldCharType="end"/>
      </w:r>
    </w:p>
    <w:p w14:paraId="16E3121A">
      <w:pPr>
        <w:pStyle w:val="13"/>
        <w:tabs>
          <w:tab w:val="right" w:leader="dot" w:pos="8306"/>
        </w:tabs>
        <w:spacing w:line="560" w:lineRule="exact"/>
        <w:ind w:left="56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_Toc14030 </w:instrText>
      </w:r>
      <w:r>
        <w:rPr>
          <w:rFonts w:hint="eastAsia" w:ascii="仿宋" w:hAnsi="仿宋" w:eastAsia="仿宋" w:cs="仿宋"/>
          <w:sz w:val="32"/>
          <w:szCs w:val="32"/>
        </w:rPr>
        <w:fldChar w:fldCharType="separate"/>
      </w:r>
      <w:r>
        <w:rPr>
          <w:rFonts w:hint="eastAsia" w:ascii="仿宋" w:hAnsi="仿宋" w:eastAsia="仿宋" w:cs="仿宋"/>
          <w:bCs/>
          <w:sz w:val="32"/>
          <w:szCs w:val="48"/>
        </w:rPr>
        <w:t>（一）评价结论</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_Toc14030 </w:instrText>
      </w:r>
      <w:r>
        <w:rPr>
          <w:rFonts w:hint="eastAsia" w:ascii="仿宋" w:hAnsi="仿宋" w:eastAsia="仿宋" w:cs="仿宋"/>
          <w:sz w:val="32"/>
          <w:szCs w:val="32"/>
        </w:rPr>
        <w:fldChar w:fldCharType="separate"/>
      </w:r>
      <w:r>
        <w:rPr>
          <w:rFonts w:hint="eastAsia" w:ascii="仿宋" w:hAnsi="仿宋" w:eastAsia="仿宋" w:cs="仿宋"/>
          <w:sz w:val="32"/>
          <w:szCs w:val="32"/>
        </w:rPr>
        <w:t>13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3297D3D0">
      <w:pPr>
        <w:pStyle w:val="13"/>
        <w:tabs>
          <w:tab w:val="right" w:leader="dot" w:pos="8306"/>
        </w:tabs>
        <w:spacing w:line="560" w:lineRule="exact"/>
        <w:ind w:left="56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_Toc23106 </w:instrText>
      </w:r>
      <w:r>
        <w:rPr>
          <w:rFonts w:hint="eastAsia" w:ascii="仿宋" w:hAnsi="仿宋" w:eastAsia="仿宋" w:cs="仿宋"/>
          <w:sz w:val="32"/>
          <w:szCs w:val="32"/>
        </w:rPr>
        <w:fldChar w:fldCharType="separate"/>
      </w:r>
      <w:r>
        <w:rPr>
          <w:rFonts w:hint="eastAsia" w:ascii="仿宋" w:hAnsi="仿宋" w:eastAsia="仿宋" w:cs="仿宋"/>
          <w:bCs/>
          <w:sz w:val="32"/>
          <w:szCs w:val="48"/>
        </w:rPr>
        <w:t>（二）主要绩效</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_Toc23106 </w:instrText>
      </w:r>
      <w:r>
        <w:rPr>
          <w:rFonts w:hint="eastAsia" w:ascii="仿宋" w:hAnsi="仿宋" w:eastAsia="仿宋" w:cs="仿宋"/>
          <w:sz w:val="32"/>
          <w:szCs w:val="32"/>
        </w:rPr>
        <w:fldChar w:fldCharType="separate"/>
      </w:r>
      <w:r>
        <w:rPr>
          <w:rFonts w:hint="eastAsia" w:ascii="仿宋" w:hAnsi="仿宋" w:eastAsia="仿宋" w:cs="仿宋"/>
          <w:sz w:val="32"/>
          <w:szCs w:val="32"/>
        </w:rPr>
        <w:t>14</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76210C2F">
      <w:pPr>
        <w:pStyle w:val="12"/>
        <w:tabs>
          <w:tab w:val="right" w:leader="dot" w:pos="8306"/>
        </w:tabs>
        <w:spacing w:line="560" w:lineRule="exact"/>
        <w:rPr>
          <w:rFonts w:hint="eastAsia" w:ascii="仿宋" w:hAnsi="仿宋" w:eastAsia="仿宋" w:cs="仿宋"/>
          <w:b/>
          <w:sz w:val="32"/>
          <w:szCs w:val="32"/>
        </w:rPr>
      </w:pP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HYPERLINK \l _Toc20059 </w:instrText>
      </w:r>
      <w:r>
        <w:rPr>
          <w:rFonts w:hint="eastAsia" w:ascii="仿宋" w:hAnsi="仿宋" w:eastAsia="仿宋" w:cs="仿宋"/>
          <w:b/>
          <w:sz w:val="32"/>
          <w:szCs w:val="32"/>
        </w:rPr>
        <w:fldChar w:fldCharType="separate"/>
      </w:r>
      <w:r>
        <w:rPr>
          <w:rFonts w:hint="eastAsia" w:ascii="仿宋" w:hAnsi="仿宋" w:eastAsia="仿宋" w:cs="仿宋"/>
          <w:b/>
          <w:bCs/>
          <w:sz w:val="32"/>
          <w:szCs w:val="52"/>
        </w:rPr>
        <w:t>四、绩效评价指标分析</w:t>
      </w:r>
      <w:r>
        <w:rPr>
          <w:rFonts w:hint="eastAsia" w:ascii="仿宋" w:hAnsi="仿宋" w:eastAsia="仿宋" w:cs="仿宋"/>
          <w:b/>
          <w:sz w:val="32"/>
          <w:szCs w:val="32"/>
        </w:rPr>
        <w:tab/>
      </w: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PAGEREF _Toc20059 </w:instrText>
      </w:r>
      <w:r>
        <w:rPr>
          <w:rFonts w:hint="eastAsia" w:ascii="仿宋" w:hAnsi="仿宋" w:eastAsia="仿宋" w:cs="仿宋"/>
          <w:b/>
          <w:sz w:val="32"/>
          <w:szCs w:val="32"/>
        </w:rPr>
        <w:fldChar w:fldCharType="separate"/>
      </w:r>
      <w:r>
        <w:rPr>
          <w:rFonts w:hint="eastAsia" w:ascii="仿宋" w:hAnsi="仿宋" w:eastAsia="仿宋" w:cs="仿宋"/>
          <w:b/>
          <w:sz w:val="32"/>
          <w:szCs w:val="32"/>
        </w:rPr>
        <w:t>14</w:t>
      </w:r>
      <w:r>
        <w:rPr>
          <w:rFonts w:hint="eastAsia" w:ascii="仿宋" w:hAnsi="仿宋" w:eastAsia="仿宋" w:cs="仿宋"/>
          <w:b/>
          <w:sz w:val="32"/>
          <w:szCs w:val="32"/>
        </w:rPr>
        <w:fldChar w:fldCharType="end"/>
      </w:r>
      <w:r>
        <w:rPr>
          <w:rFonts w:hint="eastAsia" w:ascii="仿宋" w:hAnsi="仿宋" w:eastAsia="仿宋" w:cs="仿宋"/>
          <w:b/>
          <w:sz w:val="32"/>
          <w:szCs w:val="32"/>
        </w:rPr>
        <w:fldChar w:fldCharType="end"/>
      </w:r>
    </w:p>
    <w:p w14:paraId="0720EB86">
      <w:pPr>
        <w:pStyle w:val="13"/>
        <w:tabs>
          <w:tab w:val="right" w:leader="dot" w:pos="8306"/>
        </w:tabs>
        <w:spacing w:line="560" w:lineRule="exact"/>
        <w:ind w:left="56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_Toc22626 </w:instrText>
      </w:r>
      <w:r>
        <w:rPr>
          <w:rFonts w:hint="eastAsia" w:ascii="仿宋" w:hAnsi="仿宋" w:eastAsia="仿宋" w:cs="仿宋"/>
          <w:sz w:val="32"/>
          <w:szCs w:val="32"/>
        </w:rPr>
        <w:fldChar w:fldCharType="separate"/>
      </w:r>
      <w:r>
        <w:rPr>
          <w:rFonts w:hint="eastAsia" w:ascii="仿宋" w:hAnsi="仿宋" w:eastAsia="仿宋" w:cs="仿宋"/>
          <w:bCs/>
          <w:sz w:val="32"/>
          <w:szCs w:val="48"/>
        </w:rPr>
        <w:t>（一）项目决策情况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_Toc22626 </w:instrText>
      </w:r>
      <w:r>
        <w:rPr>
          <w:rFonts w:hint="eastAsia" w:ascii="仿宋" w:hAnsi="仿宋" w:eastAsia="仿宋" w:cs="仿宋"/>
          <w:sz w:val="32"/>
          <w:szCs w:val="32"/>
        </w:rPr>
        <w:fldChar w:fldCharType="separate"/>
      </w:r>
      <w:r>
        <w:rPr>
          <w:rFonts w:hint="eastAsia" w:ascii="仿宋" w:hAnsi="仿宋" w:eastAsia="仿宋" w:cs="仿宋"/>
          <w:sz w:val="32"/>
          <w:szCs w:val="32"/>
        </w:rPr>
        <w:t>14</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71EBFA3B">
      <w:pPr>
        <w:pStyle w:val="13"/>
        <w:tabs>
          <w:tab w:val="right" w:leader="dot" w:pos="8306"/>
        </w:tabs>
        <w:spacing w:line="560" w:lineRule="exact"/>
        <w:ind w:left="56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_Toc16968 </w:instrText>
      </w:r>
      <w:r>
        <w:rPr>
          <w:rFonts w:hint="eastAsia" w:ascii="仿宋" w:hAnsi="仿宋" w:eastAsia="仿宋" w:cs="仿宋"/>
          <w:sz w:val="32"/>
          <w:szCs w:val="32"/>
        </w:rPr>
        <w:fldChar w:fldCharType="separate"/>
      </w:r>
      <w:r>
        <w:rPr>
          <w:rFonts w:hint="eastAsia" w:ascii="仿宋" w:hAnsi="仿宋" w:eastAsia="仿宋" w:cs="仿宋"/>
          <w:bCs/>
          <w:sz w:val="32"/>
          <w:szCs w:val="48"/>
        </w:rPr>
        <w:t>（二）项目过程情况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_Toc16968 </w:instrText>
      </w:r>
      <w:r>
        <w:rPr>
          <w:rFonts w:hint="eastAsia" w:ascii="仿宋" w:hAnsi="仿宋" w:eastAsia="仿宋" w:cs="仿宋"/>
          <w:sz w:val="32"/>
          <w:szCs w:val="32"/>
        </w:rPr>
        <w:fldChar w:fldCharType="separate"/>
      </w:r>
      <w:r>
        <w:rPr>
          <w:rFonts w:hint="eastAsia" w:ascii="仿宋" w:hAnsi="仿宋" w:eastAsia="仿宋" w:cs="仿宋"/>
          <w:sz w:val="32"/>
          <w:szCs w:val="32"/>
        </w:rPr>
        <w:t>15</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4E1C6BCE">
      <w:pPr>
        <w:pStyle w:val="13"/>
        <w:tabs>
          <w:tab w:val="right" w:leader="dot" w:pos="8306"/>
        </w:tabs>
        <w:spacing w:line="560" w:lineRule="exact"/>
        <w:ind w:left="56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_Toc31704 </w:instrText>
      </w:r>
      <w:r>
        <w:rPr>
          <w:rFonts w:hint="eastAsia" w:ascii="仿宋" w:hAnsi="仿宋" w:eastAsia="仿宋" w:cs="仿宋"/>
          <w:sz w:val="32"/>
          <w:szCs w:val="32"/>
        </w:rPr>
        <w:fldChar w:fldCharType="separate"/>
      </w:r>
      <w:r>
        <w:rPr>
          <w:rFonts w:hint="eastAsia" w:ascii="仿宋" w:hAnsi="仿宋" w:eastAsia="仿宋" w:cs="仿宋"/>
          <w:bCs/>
          <w:sz w:val="32"/>
          <w:szCs w:val="48"/>
        </w:rPr>
        <w:t>（三）项目产出情况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_Toc31704 </w:instrText>
      </w:r>
      <w:r>
        <w:rPr>
          <w:rFonts w:hint="eastAsia" w:ascii="仿宋" w:hAnsi="仿宋" w:eastAsia="仿宋" w:cs="仿宋"/>
          <w:sz w:val="32"/>
          <w:szCs w:val="32"/>
        </w:rPr>
        <w:fldChar w:fldCharType="separate"/>
      </w:r>
      <w:r>
        <w:rPr>
          <w:rFonts w:hint="eastAsia" w:ascii="仿宋" w:hAnsi="仿宋" w:eastAsia="仿宋" w:cs="仿宋"/>
          <w:sz w:val="32"/>
          <w:szCs w:val="32"/>
        </w:rPr>
        <w:t>17</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588C7063">
      <w:pPr>
        <w:pStyle w:val="13"/>
        <w:tabs>
          <w:tab w:val="right" w:leader="dot" w:pos="8306"/>
        </w:tabs>
        <w:spacing w:line="560" w:lineRule="exact"/>
        <w:ind w:left="56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_Toc31697 </w:instrText>
      </w:r>
      <w:r>
        <w:rPr>
          <w:rFonts w:hint="eastAsia" w:ascii="仿宋" w:hAnsi="仿宋" w:eastAsia="仿宋" w:cs="仿宋"/>
          <w:sz w:val="32"/>
          <w:szCs w:val="32"/>
        </w:rPr>
        <w:fldChar w:fldCharType="separate"/>
      </w:r>
      <w:r>
        <w:rPr>
          <w:rFonts w:hint="eastAsia" w:ascii="仿宋" w:hAnsi="仿宋" w:eastAsia="仿宋" w:cs="仿宋"/>
          <w:bCs/>
          <w:sz w:val="32"/>
          <w:szCs w:val="48"/>
        </w:rPr>
        <w:t>（四）项目效益情况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_Toc31697 </w:instrText>
      </w:r>
      <w:r>
        <w:rPr>
          <w:rFonts w:hint="eastAsia" w:ascii="仿宋" w:hAnsi="仿宋" w:eastAsia="仿宋" w:cs="仿宋"/>
          <w:sz w:val="32"/>
          <w:szCs w:val="32"/>
        </w:rPr>
        <w:fldChar w:fldCharType="separate"/>
      </w:r>
      <w:r>
        <w:rPr>
          <w:rFonts w:hint="eastAsia" w:ascii="仿宋" w:hAnsi="仿宋" w:eastAsia="仿宋" w:cs="仿宋"/>
          <w:sz w:val="32"/>
          <w:szCs w:val="32"/>
        </w:rPr>
        <w:t>18</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62798B28">
      <w:pPr>
        <w:pStyle w:val="12"/>
        <w:tabs>
          <w:tab w:val="right" w:leader="dot" w:pos="8306"/>
        </w:tabs>
        <w:spacing w:line="560" w:lineRule="exact"/>
        <w:rPr>
          <w:rFonts w:hint="eastAsia" w:ascii="仿宋" w:hAnsi="仿宋" w:eastAsia="仿宋" w:cs="仿宋"/>
          <w:b/>
          <w:sz w:val="32"/>
          <w:szCs w:val="32"/>
        </w:rPr>
      </w:pP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HYPERLINK \l _Toc32407 </w:instrText>
      </w:r>
      <w:r>
        <w:rPr>
          <w:rFonts w:hint="eastAsia" w:ascii="仿宋" w:hAnsi="仿宋" w:eastAsia="仿宋" w:cs="仿宋"/>
          <w:b/>
          <w:sz w:val="32"/>
          <w:szCs w:val="32"/>
        </w:rPr>
        <w:fldChar w:fldCharType="separate"/>
      </w:r>
      <w:r>
        <w:rPr>
          <w:rFonts w:hint="eastAsia" w:ascii="仿宋" w:hAnsi="仿宋" w:eastAsia="仿宋" w:cs="仿宋"/>
          <w:b/>
          <w:bCs/>
          <w:sz w:val="32"/>
          <w:szCs w:val="52"/>
        </w:rPr>
        <w:t>五、预算执行进度与绩效指标偏差</w:t>
      </w:r>
      <w:r>
        <w:rPr>
          <w:rFonts w:hint="eastAsia" w:ascii="仿宋" w:hAnsi="仿宋" w:eastAsia="仿宋" w:cs="仿宋"/>
          <w:b/>
          <w:sz w:val="32"/>
          <w:szCs w:val="32"/>
        </w:rPr>
        <w:tab/>
      </w: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PAGEREF _Toc32407 </w:instrText>
      </w:r>
      <w:r>
        <w:rPr>
          <w:rFonts w:hint="eastAsia" w:ascii="仿宋" w:hAnsi="仿宋" w:eastAsia="仿宋" w:cs="仿宋"/>
          <w:b/>
          <w:sz w:val="32"/>
          <w:szCs w:val="32"/>
        </w:rPr>
        <w:fldChar w:fldCharType="separate"/>
      </w:r>
      <w:r>
        <w:rPr>
          <w:rFonts w:hint="eastAsia" w:ascii="仿宋" w:hAnsi="仿宋" w:eastAsia="仿宋" w:cs="仿宋"/>
          <w:b/>
          <w:sz w:val="32"/>
          <w:szCs w:val="32"/>
        </w:rPr>
        <w:t>19</w:t>
      </w:r>
      <w:r>
        <w:rPr>
          <w:rFonts w:hint="eastAsia" w:ascii="仿宋" w:hAnsi="仿宋" w:eastAsia="仿宋" w:cs="仿宋"/>
          <w:b/>
          <w:sz w:val="32"/>
          <w:szCs w:val="32"/>
        </w:rPr>
        <w:fldChar w:fldCharType="end"/>
      </w:r>
      <w:r>
        <w:rPr>
          <w:rFonts w:hint="eastAsia" w:ascii="仿宋" w:hAnsi="仿宋" w:eastAsia="仿宋" w:cs="仿宋"/>
          <w:b/>
          <w:sz w:val="32"/>
          <w:szCs w:val="32"/>
        </w:rPr>
        <w:fldChar w:fldCharType="end"/>
      </w:r>
    </w:p>
    <w:p w14:paraId="07617CE0">
      <w:pPr>
        <w:pStyle w:val="12"/>
        <w:tabs>
          <w:tab w:val="right" w:leader="dot" w:pos="8306"/>
        </w:tabs>
        <w:spacing w:line="560" w:lineRule="exact"/>
        <w:rPr>
          <w:rFonts w:hint="eastAsia" w:ascii="仿宋" w:hAnsi="仿宋" w:eastAsia="仿宋" w:cs="仿宋"/>
          <w:b/>
          <w:sz w:val="32"/>
          <w:szCs w:val="32"/>
        </w:rPr>
      </w:pP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HYPERLINK \l _Toc5156 </w:instrText>
      </w:r>
      <w:r>
        <w:rPr>
          <w:rFonts w:hint="eastAsia" w:ascii="仿宋" w:hAnsi="仿宋" w:eastAsia="仿宋" w:cs="仿宋"/>
          <w:b/>
          <w:sz w:val="32"/>
          <w:szCs w:val="32"/>
        </w:rPr>
        <w:fldChar w:fldCharType="separate"/>
      </w:r>
      <w:r>
        <w:rPr>
          <w:rFonts w:hint="eastAsia" w:ascii="仿宋" w:hAnsi="仿宋" w:eastAsia="仿宋" w:cs="仿宋"/>
          <w:b/>
          <w:bCs/>
          <w:sz w:val="32"/>
          <w:szCs w:val="52"/>
        </w:rPr>
        <w:t>六、主要经验及做法、存在的问题及原因分析</w:t>
      </w:r>
      <w:r>
        <w:rPr>
          <w:rFonts w:hint="eastAsia" w:ascii="仿宋" w:hAnsi="仿宋" w:eastAsia="仿宋" w:cs="仿宋"/>
          <w:b/>
          <w:sz w:val="32"/>
          <w:szCs w:val="32"/>
        </w:rPr>
        <w:tab/>
      </w: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PAGEREF _Toc5156 </w:instrText>
      </w:r>
      <w:r>
        <w:rPr>
          <w:rFonts w:hint="eastAsia" w:ascii="仿宋" w:hAnsi="仿宋" w:eastAsia="仿宋" w:cs="仿宋"/>
          <w:b/>
          <w:sz w:val="32"/>
          <w:szCs w:val="32"/>
        </w:rPr>
        <w:fldChar w:fldCharType="separate"/>
      </w:r>
      <w:r>
        <w:rPr>
          <w:rFonts w:hint="eastAsia" w:ascii="仿宋" w:hAnsi="仿宋" w:eastAsia="仿宋" w:cs="仿宋"/>
          <w:b/>
          <w:sz w:val="32"/>
          <w:szCs w:val="32"/>
        </w:rPr>
        <w:t>19</w:t>
      </w:r>
      <w:r>
        <w:rPr>
          <w:rFonts w:hint="eastAsia" w:ascii="仿宋" w:hAnsi="仿宋" w:eastAsia="仿宋" w:cs="仿宋"/>
          <w:b/>
          <w:sz w:val="32"/>
          <w:szCs w:val="32"/>
        </w:rPr>
        <w:fldChar w:fldCharType="end"/>
      </w:r>
      <w:r>
        <w:rPr>
          <w:rFonts w:hint="eastAsia" w:ascii="仿宋" w:hAnsi="仿宋" w:eastAsia="仿宋" w:cs="仿宋"/>
          <w:b/>
          <w:sz w:val="32"/>
          <w:szCs w:val="32"/>
        </w:rPr>
        <w:fldChar w:fldCharType="end"/>
      </w:r>
    </w:p>
    <w:p w14:paraId="24FF5D41">
      <w:pPr>
        <w:pStyle w:val="13"/>
        <w:tabs>
          <w:tab w:val="right" w:leader="dot" w:pos="8306"/>
        </w:tabs>
        <w:spacing w:line="560" w:lineRule="exact"/>
        <w:ind w:left="56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_Toc18450 </w:instrText>
      </w:r>
      <w:r>
        <w:rPr>
          <w:rFonts w:hint="eastAsia" w:ascii="仿宋" w:hAnsi="仿宋" w:eastAsia="仿宋" w:cs="仿宋"/>
          <w:sz w:val="32"/>
          <w:szCs w:val="32"/>
        </w:rPr>
        <w:fldChar w:fldCharType="separate"/>
      </w:r>
      <w:r>
        <w:rPr>
          <w:rFonts w:hint="eastAsia" w:ascii="仿宋" w:hAnsi="仿宋" w:eastAsia="仿宋" w:cs="仿宋"/>
          <w:bCs/>
          <w:sz w:val="32"/>
          <w:szCs w:val="48"/>
        </w:rPr>
        <w:t>（一）主要经验及做法</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_Toc18450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1C2D19F3">
      <w:pPr>
        <w:pStyle w:val="13"/>
        <w:tabs>
          <w:tab w:val="right" w:leader="dot" w:pos="8306"/>
        </w:tabs>
        <w:spacing w:line="560" w:lineRule="exact"/>
        <w:ind w:left="56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_Toc9205 </w:instrText>
      </w:r>
      <w:r>
        <w:rPr>
          <w:rFonts w:hint="eastAsia" w:ascii="仿宋" w:hAnsi="仿宋" w:eastAsia="仿宋" w:cs="仿宋"/>
          <w:sz w:val="32"/>
          <w:szCs w:val="32"/>
        </w:rPr>
        <w:fldChar w:fldCharType="separate"/>
      </w:r>
      <w:r>
        <w:rPr>
          <w:rFonts w:hint="eastAsia" w:ascii="仿宋" w:hAnsi="仿宋" w:eastAsia="仿宋" w:cs="仿宋"/>
          <w:bCs/>
          <w:sz w:val="32"/>
          <w:szCs w:val="48"/>
        </w:rPr>
        <w:t>（二）存在的问题及原因分析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_Toc9205 </w:instrText>
      </w:r>
      <w:r>
        <w:rPr>
          <w:rFonts w:hint="eastAsia" w:ascii="仿宋" w:hAnsi="仿宋" w:eastAsia="仿宋" w:cs="仿宋"/>
          <w:sz w:val="32"/>
          <w:szCs w:val="32"/>
        </w:rPr>
        <w:fldChar w:fldCharType="separate"/>
      </w:r>
      <w:r>
        <w:rPr>
          <w:rFonts w:hint="eastAsia" w:ascii="仿宋" w:hAnsi="仿宋" w:eastAsia="仿宋" w:cs="仿宋"/>
          <w:sz w:val="32"/>
          <w:szCs w:val="32"/>
        </w:rPr>
        <w:t>19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68C05687">
      <w:pPr>
        <w:pStyle w:val="12"/>
        <w:tabs>
          <w:tab w:val="right" w:leader="dot" w:pos="8306"/>
        </w:tabs>
        <w:spacing w:line="560" w:lineRule="exact"/>
        <w:rPr>
          <w:rFonts w:hint="eastAsia" w:ascii="仿宋" w:hAnsi="仿宋" w:eastAsia="仿宋" w:cs="仿宋"/>
          <w:b/>
          <w:sz w:val="32"/>
          <w:szCs w:val="32"/>
        </w:rPr>
      </w:pP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HYPERLINK \l _Toc26872 </w:instrText>
      </w:r>
      <w:r>
        <w:rPr>
          <w:rFonts w:hint="eastAsia" w:ascii="仿宋" w:hAnsi="仿宋" w:eastAsia="仿宋" w:cs="仿宋"/>
          <w:b/>
          <w:sz w:val="32"/>
          <w:szCs w:val="32"/>
        </w:rPr>
        <w:fldChar w:fldCharType="separate"/>
      </w:r>
      <w:r>
        <w:rPr>
          <w:rFonts w:hint="eastAsia" w:ascii="仿宋" w:hAnsi="仿宋" w:eastAsia="仿宋" w:cs="仿宋"/>
          <w:b/>
          <w:bCs/>
          <w:sz w:val="32"/>
          <w:szCs w:val="52"/>
        </w:rPr>
        <w:t>七、其他需要说明的问题</w:t>
      </w:r>
      <w:r>
        <w:rPr>
          <w:rFonts w:hint="eastAsia" w:ascii="仿宋" w:hAnsi="仿宋" w:eastAsia="仿宋" w:cs="仿宋"/>
          <w:b/>
          <w:sz w:val="32"/>
          <w:szCs w:val="32"/>
        </w:rPr>
        <w:tab/>
      </w: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PAGEREF _Toc26872 </w:instrText>
      </w:r>
      <w:r>
        <w:rPr>
          <w:rFonts w:hint="eastAsia" w:ascii="仿宋" w:hAnsi="仿宋" w:eastAsia="仿宋" w:cs="仿宋"/>
          <w:b/>
          <w:sz w:val="32"/>
          <w:szCs w:val="32"/>
        </w:rPr>
        <w:fldChar w:fldCharType="separate"/>
      </w:r>
      <w:r>
        <w:rPr>
          <w:rFonts w:hint="eastAsia" w:ascii="仿宋" w:hAnsi="仿宋" w:eastAsia="仿宋" w:cs="仿宋"/>
          <w:b/>
          <w:sz w:val="32"/>
          <w:szCs w:val="32"/>
        </w:rPr>
        <w:t>19</w:t>
      </w:r>
      <w:r>
        <w:rPr>
          <w:rFonts w:hint="eastAsia" w:ascii="仿宋" w:hAnsi="仿宋" w:eastAsia="仿宋" w:cs="仿宋"/>
          <w:b/>
          <w:sz w:val="32"/>
          <w:szCs w:val="32"/>
        </w:rPr>
        <w:fldChar w:fldCharType="end"/>
      </w:r>
      <w:r>
        <w:rPr>
          <w:rFonts w:hint="eastAsia" w:ascii="仿宋" w:hAnsi="仿宋" w:eastAsia="仿宋" w:cs="仿宋"/>
          <w:b/>
          <w:sz w:val="32"/>
          <w:szCs w:val="32"/>
        </w:rPr>
        <w:fldChar w:fldCharType="end"/>
      </w:r>
    </w:p>
    <w:p w14:paraId="171BDD97">
      <w:pPr>
        <w:pStyle w:val="12"/>
        <w:tabs>
          <w:tab w:val="right" w:leader="dot" w:pos="8306"/>
        </w:tabs>
        <w:spacing w:line="560" w:lineRule="exact"/>
        <w:rPr>
          <w:rFonts w:hint="eastAsia" w:ascii="仿宋" w:hAnsi="仿宋" w:eastAsia="仿宋" w:cs="仿宋"/>
          <w:b/>
          <w:sz w:val="32"/>
          <w:szCs w:val="32"/>
        </w:rPr>
      </w:pP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HYPERLINK \l _Toc4317 </w:instrText>
      </w:r>
      <w:r>
        <w:rPr>
          <w:rFonts w:hint="eastAsia" w:ascii="仿宋" w:hAnsi="仿宋" w:eastAsia="仿宋" w:cs="仿宋"/>
          <w:b/>
          <w:sz w:val="32"/>
          <w:szCs w:val="32"/>
        </w:rPr>
        <w:fldChar w:fldCharType="separate"/>
      </w:r>
      <w:r>
        <w:rPr>
          <w:rFonts w:hint="eastAsia" w:ascii="仿宋" w:hAnsi="仿宋" w:eastAsia="仿宋" w:cs="仿宋"/>
          <w:b/>
          <w:bCs/>
          <w:sz w:val="32"/>
          <w:szCs w:val="52"/>
        </w:rPr>
        <w:t>八、有关建议</w:t>
      </w:r>
      <w:r>
        <w:rPr>
          <w:rFonts w:hint="eastAsia" w:ascii="仿宋" w:hAnsi="仿宋" w:eastAsia="仿宋" w:cs="仿宋"/>
          <w:b/>
          <w:sz w:val="32"/>
          <w:szCs w:val="32"/>
        </w:rPr>
        <w:tab/>
      </w: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PAGEREF _Toc4317 </w:instrText>
      </w:r>
      <w:r>
        <w:rPr>
          <w:rFonts w:hint="eastAsia" w:ascii="仿宋" w:hAnsi="仿宋" w:eastAsia="仿宋" w:cs="仿宋"/>
          <w:b/>
          <w:sz w:val="32"/>
          <w:szCs w:val="32"/>
        </w:rPr>
        <w:fldChar w:fldCharType="separate"/>
      </w:r>
      <w:r>
        <w:rPr>
          <w:rFonts w:hint="eastAsia" w:ascii="仿宋" w:hAnsi="仿宋" w:eastAsia="仿宋" w:cs="仿宋"/>
          <w:b/>
          <w:sz w:val="32"/>
          <w:szCs w:val="32"/>
        </w:rPr>
        <w:t>19</w:t>
      </w:r>
      <w:r>
        <w:rPr>
          <w:rFonts w:hint="eastAsia" w:ascii="仿宋" w:hAnsi="仿宋" w:eastAsia="仿宋" w:cs="仿宋"/>
          <w:b/>
          <w:sz w:val="32"/>
          <w:szCs w:val="32"/>
        </w:rPr>
        <w:fldChar w:fldCharType="end"/>
      </w:r>
      <w:r>
        <w:rPr>
          <w:rFonts w:hint="eastAsia" w:ascii="仿宋" w:hAnsi="仿宋" w:eastAsia="仿宋" w:cs="仿宋"/>
          <w:b/>
          <w:sz w:val="32"/>
          <w:szCs w:val="32"/>
        </w:rPr>
        <w:fldChar w:fldCharType="end"/>
      </w:r>
    </w:p>
    <w:p w14:paraId="4807F34F">
      <w:pPr>
        <w:tabs>
          <w:tab w:val="left" w:pos="1224"/>
        </w:tabs>
        <w:spacing w:line="560" w:lineRule="exact"/>
        <w:ind w:firstLine="0" w:firstLineChars="0"/>
        <w:jc w:val="center"/>
        <w:rPr>
          <w:rStyle w:val="11"/>
          <w:rFonts w:hint="eastAsia"/>
        </w:rPr>
      </w:pPr>
      <w:r>
        <w:rPr>
          <w:rFonts w:hint="eastAsia" w:ascii="仿宋" w:hAnsi="仿宋" w:eastAsia="仿宋" w:cs="仿宋"/>
          <w:b/>
          <w:sz w:val="48"/>
          <w:szCs w:val="40"/>
        </w:rPr>
        <w:fldChar w:fldCharType="end"/>
      </w:r>
    </w:p>
    <w:p w14:paraId="08D3DE83">
      <w:pPr>
        <w:tabs>
          <w:tab w:val="left" w:pos="1224"/>
        </w:tabs>
        <w:ind w:firstLine="560"/>
        <w:sectPr>
          <w:headerReference r:id="rId9" w:type="default"/>
          <w:pgSz w:w="11906" w:h="16838"/>
          <w:pgMar w:top="1440" w:right="1800" w:bottom="1440" w:left="1800" w:header="851" w:footer="992" w:gutter="0"/>
          <w:cols w:space="720" w:num="1"/>
          <w:docGrid w:type="lines" w:linePitch="312" w:charSpace="0"/>
        </w:sectPr>
      </w:pPr>
    </w:p>
    <w:p w14:paraId="57D7DC6B">
      <w:pPr>
        <w:spacing w:line="360" w:lineRule="auto"/>
        <w:ind w:firstLine="0" w:firstLineChars="0"/>
        <w:outlineLvl w:val="0"/>
        <w:rPr>
          <w:rFonts w:ascii="仿宋_GB2312" w:hAnsi="Times New Roman" w:cs="Times New Roman"/>
          <w:b/>
          <w:bCs/>
          <w:kern w:val="0"/>
          <w:sz w:val="32"/>
          <w:szCs w:val="32"/>
          <w:lang w:bidi="en-US"/>
        </w:rPr>
      </w:pPr>
      <w:bookmarkStart w:id="0" w:name="_Toc13154"/>
      <w:bookmarkStart w:id="1" w:name="_Toc67911601"/>
      <w:r>
        <w:rPr>
          <w:rFonts w:hint="eastAsia" w:ascii="仿宋_GB2312" w:hAnsi="Times New Roman" w:cs="Times New Roman"/>
          <w:b/>
          <w:bCs/>
          <w:kern w:val="0"/>
          <w:sz w:val="32"/>
          <w:szCs w:val="32"/>
          <w:lang w:bidi="en-US"/>
        </w:rPr>
        <w:t>一、基本情况</w:t>
      </w:r>
      <w:bookmarkEnd w:id="0"/>
      <w:bookmarkEnd w:id="1"/>
    </w:p>
    <w:p w14:paraId="159AE389">
      <w:pPr>
        <w:spacing w:line="360" w:lineRule="auto"/>
        <w:ind w:firstLine="560"/>
        <w:outlineLvl w:val="1"/>
        <w:rPr>
          <w:rFonts w:ascii="仿宋_GB2312" w:hAnsi="Times New Roman" w:cs="Times New Roman"/>
          <w:b/>
          <w:bCs/>
          <w:kern w:val="0"/>
          <w:szCs w:val="28"/>
          <w:lang w:bidi="en-US"/>
        </w:rPr>
      </w:pPr>
      <w:bookmarkStart w:id="2" w:name="_Toc67911602"/>
      <w:bookmarkStart w:id="3" w:name="_Toc2044"/>
      <w:r>
        <w:rPr>
          <w:rFonts w:hint="eastAsia" w:ascii="仿宋_GB2312" w:hAnsi="Times New Roman" w:cs="Times New Roman"/>
          <w:b/>
          <w:bCs/>
          <w:kern w:val="0"/>
          <w:szCs w:val="28"/>
          <w:lang w:bidi="en-US"/>
        </w:rPr>
        <w:t>（一）项目概况：</w:t>
      </w:r>
      <w:bookmarkEnd w:id="2"/>
      <w:bookmarkEnd w:id="3"/>
      <w:r>
        <w:rPr>
          <w:rFonts w:hint="eastAsia" w:ascii="仿宋_GB2312" w:hAnsi="仿宋" w:eastAsia="仿宋_GB2312" w:cs="宋体"/>
          <w:sz w:val="30"/>
          <w:szCs w:val="30"/>
        </w:rPr>
        <w:t>立项依据</w:t>
      </w:r>
      <w:r>
        <w:rPr>
          <w:rFonts w:hint="eastAsia" w:ascii="仿宋_GB2312" w:hAnsi="仿宋" w:eastAsia="仿宋_GB2312"/>
          <w:kern w:val="0"/>
          <w:sz w:val="30"/>
          <w:szCs w:val="30"/>
        </w:rPr>
        <w:t>：</w:t>
      </w:r>
      <w:bookmarkStart w:id="4" w:name="_Hlk85667550"/>
      <w:r>
        <w:rPr>
          <w:rFonts w:hint="eastAsia" w:ascii="仿宋_GB2312" w:hAnsi="仿宋" w:eastAsia="仿宋_GB2312"/>
          <w:kern w:val="0"/>
          <w:sz w:val="30"/>
          <w:szCs w:val="30"/>
        </w:rPr>
        <w:t>额敏县发展和改革委员会文件《</w:t>
      </w:r>
      <w:r>
        <w:rPr>
          <w:rFonts w:hint="eastAsia" w:ascii="仿宋_GB2312" w:hAnsi="仿宋" w:eastAsia="仿宋_GB2312" w:cs="宋体"/>
          <w:sz w:val="30"/>
          <w:szCs w:val="30"/>
        </w:rPr>
        <w:t>关于对额敏县集中供热换热站提标改造工程项目可行性研究报告（代项目建议书）的批复</w:t>
      </w:r>
      <w:r>
        <w:rPr>
          <w:rFonts w:hint="eastAsia" w:ascii="仿宋_GB2312" w:hAnsi="仿宋" w:eastAsia="仿宋_GB2312"/>
          <w:kern w:val="0"/>
          <w:sz w:val="30"/>
          <w:szCs w:val="30"/>
        </w:rPr>
        <w:t>》</w:t>
      </w:r>
      <w:r>
        <w:rPr>
          <w:rFonts w:hint="eastAsia" w:ascii="仿宋_GB2312" w:hAnsi="仿宋" w:eastAsia="仿宋_GB2312" w:cs="宋体"/>
          <w:sz w:val="30"/>
          <w:szCs w:val="30"/>
        </w:rPr>
        <w:t>（额发改【2020】218号）</w:t>
      </w:r>
      <w:bookmarkEnd w:id="4"/>
      <w:r>
        <w:rPr>
          <w:rFonts w:hint="eastAsia" w:ascii="仿宋_GB2312" w:hAnsi="仿宋" w:eastAsia="仿宋_GB2312" w:cs="宋体"/>
          <w:sz w:val="30"/>
          <w:szCs w:val="30"/>
        </w:rPr>
        <w:t>。</w:t>
      </w:r>
    </w:p>
    <w:p w14:paraId="19F5795A">
      <w:pPr>
        <w:spacing w:line="360" w:lineRule="auto"/>
        <w:ind w:firstLine="640"/>
        <w:rPr>
          <w:rFonts w:ascii="仿宋_GB2312" w:hAnsi="Times New Roman" w:cs="Times New Roman"/>
          <w:b/>
          <w:bCs/>
          <w:kern w:val="0"/>
          <w:szCs w:val="28"/>
          <w:lang w:bidi="en-US"/>
        </w:rPr>
      </w:pPr>
      <w:r>
        <w:rPr>
          <w:rFonts w:hint="eastAsia" w:ascii="方正仿宋简体" w:hAnsi="方正仿宋简体" w:eastAsia="方正仿宋简体" w:cs="方正仿宋简体"/>
          <w:kern w:val="0"/>
          <w:sz w:val="32"/>
          <w:szCs w:val="32"/>
        </w:rPr>
        <w:t>1、项目背景</w:t>
      </w:r>
    </w:p>
    <w:p w14:paraId="628E5154">
      <w:pPr>
        <w:spacing w:line="360" w:lineRule="auto"/>
        <w:ind w:firstLine="560"/>
        <w:outlineLvl w:val="1"/>
        <w:rPr>
          <w:rFonts w:hint="eastAsia" w:ascii="仿宋_GB2312" w:eastAsia="仿宋_GB2312"/>
          <w:sz w:val="32"/>
          <w:szCs w:val="32"/>
        </w:rPr>
      </w:pPr>
      <w:r>
        <w:rPr>
          <w:rFonts w:hint="eastAsia" w:ascii="仿宋_GB2312" w:hAnsi="仿宋" w:eastAsia="仿宋_GB2312" w:cs="宋体"/>
          <w:sz w:val="30"/>
          <w:szCs w:val="30"/>
        </w:rPr>
        <w:t>本项目依据额敏县总体规划和集中供热专项规划，贯彻远近结合，以近期为主，合理布局统筹安排，分期实施的原则。在满足城市发展所需的基础</w:t>
      </w:r>
      <w:r>
        <w:rPr>
          <w:rFonts w:hint="eastAsia" w:ascii="仿宋_GB2312" w:hAnsi="仿宋" w:cs="宋体"/>
          <w:sz w:val="30"/>
          <w:szCs w:val="30"/>
          <w:lang w:val="en-US" w:eastAsia="zh-CN"/>
        </w:rPr>
        <w:t>设</w:t>
      </w:r>
      <w:bookmarkStart w:id="45" w:name="_GoBack"/>
      <w:bookmarkEnd w:id="45"/>
      <w:r>
        <w:rPr>
          <w:rFonts w:hint="eastAsia" w:ascii="仿宋_GB2312" w:hAnsi="仿宋" w:eastAsia="仿宋_GB2312" w:cs="宋体"/>
          <w:sz w:val="30"/>
          <w:szCs w:val="30"/>
        </w:rPr>
        <w:t>施建设的同时，在供热行业实现节约能源，减少污染，提高供热安全，保证市民的安全供暖。随着额敏县不断建设发展，城市基础配套设施日益完善，为确保用户的用热需求，提供供热的品质，换热站的提标改造是非常行之有效的方法。</w:t>
      </w:r>
    </w:p>
    <w:p w14:paraId="21E90F19">
      <w:pPr>
        <w:widowControl/>
        <w:spacing w:line="560" w:lineRule="exact"/>
        <w:ind w:firstLine="64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2、主要内容及实施情况</w:t>
      </w:r>
    </w:p>
    <w:p w14:paraId="7C80A6DE">
      <w:pPr>
        <w:spacing w:line="360" w:lineRule="auto"/>
        <w:ind w:firstLine="560"/>
        <w:outlineLvl w:val="1"/>
        <w:rPr>
          <w:rFonts w:hint="eastAsia" w:ascii="仿宋_GB2312" w:hAnsi="仿宋" w:eastAsia="仿宋_GB2312" w:cs="宋体"/>
          <w:sz w:val="30"/>
          <w:szCs w:val="30"/>
          <w:lang w:val="en-US" w:eastAsia="zh-CN"/>
        </w:rPr>
      </w:pPr>
      <w:r>
        <w:rPr>
          <w:rFonts w:hint="eastAsia" w:ascii="仿宋_GB2312" w:hAnsi="仿宋" w:eastAsia="仿宋_GB2312" w:cs="宋体"/>
          <w:sz w:val="30"/>
          <w:szCs w:val="30"/>
        </w:rPr>
        <w:t>改造及增容29座换热站设备、新增自动化远程控制系统和监控系统设计改造；等配套附属设施设备；</w:t>
      </w:r>
      <w:r>
        <w:rPr>
          <w:rFonts w:hint="eastAsia" w:ascii="仿宋_GB2312" w:hAnsi="仿宋" w:eastAsia="仿宋_GB2312" w:cs="宋体"/>
          <w:sz w:val="30"/>
          <w:szCs w:val="30"/>
          <w:lang w:val="en-US" w:eastAsia="zh-CN"/>
        </w:rPr>
        <w:t>本项目于</w:t>
      </w:r>
      <w:r>
        <w:rPr>
          <w:rFonts w:hint="eastAsia" w:ascii="仿宋_GB2312" w:hAnsi="仿宋" w:eastAsia="仿宋_GB2312" w:cs="宋体"/>
          <w:sz w:val="30"/>
          <w:szCs w:val="30"/>
        </w:rPr>
        <w:t>2020年已发行专项债券资金</w:t>
      </w:r>
      <w:r>
        <w:rPr>
          <w:rFonts w:hint="eastAsia" w:ascii="仿宋_GB2312" w:hAnsi="仿宋" w:eastAsia="仿宋_GB2312" w:cs="宋体"/>
          <w:sz w:val="30"/>
          <w:szCs w:val="30"/>
          <w:lang w:val="en-US" w:eastAsia="zh-CN"/>
        </w:rPr>
        <w:t>3000万元，2022年计划申请</w:t>
      </w:r>
      <w:r>
        <w:rPr>
          <w:rFonts w:hint="eastAsia" w:ascii="仿宋_GB2312" w:hAnsi="仿宋" w:eastAsia="仿宋_GB2312" w:cs="宋体"/>
          <w:sz w:val="30"/>
          <w:szCs w:val="30"/>
        </w:rPr>
        <w:t>专项债券资金1</w:t>
      </w:r>
      <w:r>
        <w:rPr>
          <w:rFonts w:hint="eastAsia" w:ascii="仿宋_GB2312" w:hAnsi="仿宋" w:eastAsia="仿宋_GB2312" w:cs="宋体"/>
          <w:sz w:val="30"/>
          <w:szCs w:val="30"/>
          <w:lang w:val="en-US" w:eastAsia="zh-CN"/>
        </w:rPr>
        <w:t>000</w:t>
      </w:r>
      <w:r>
        <w:rPr>
          <w:rFonts w:hint="eastAsia" w:ascii="仿宋_GB2312" w:hAnsi="仿宋" w:eastAsia="仿宋_GB2312" w:cs="宋体"/>
          <w:sz w:val="30"/>
          <w:szCs w:val="30"/>
        </w:rPr>
        <w:t>万元</w:t>
      </w:r>
      <w:r>
        <w:rPr>
          <w:rFonts w:hint="eastAsia" w:ascii="仿宋_GB2312" w:hAnsi="仿宋" w:eastAsia="仿宋_GB2312" w:cs="宋体"/>
          <w:sz w:val="30"/>
          <w:szCs w:val="30"/>
          <w:lang w:eastAsia="zh-CN"/>
        </w:rPr>
        <w:t>，</w:t>
      </w:r>
      <w:r>
        <w:rPr>
          <w:rFonts w:hint="eastAsia" w:ascii="仿宋_GB2312" w:hAnsi="仿宋" w:eastAsia="仿宋_GB2312" w:cs="宋体"/>
          <w:sz w:val="30"/>
          <w:szCs w:val="30"/>
          <w:lang w:val="en-US" w:eastAsia="zh-CN"/>
        </w:rPr>
        <w:t>用于完善换热站设施、设备改造工作。</w:t>
      </w:r>
    </w:p>
    <w:p w14:paraId="40054B0B">
      <w:pPr>
        <w:spacing w:line="560" w:lineRule="exact"/>
        <w:ind w:firstLine="640"/>
        <w:rPr>
          <w:rFonts w:ascii="方正仿宋简体" w:hAnsi="方正仿宋简体" w:eastAsia="方正仿宋简体" w:cs="方正仿宋简体"/>
          <w:sz w:val="32"/>
          <w:szCs w:val="32"/>
        </w:rPr>
      </w:pPr>
      <w:r>
        <w:rPr>
          <w:rFonts w:hint="eastAsia" w:ascii="仿宋_GB2312"/>
          <w:sz w:val="32"/>
          <w:szCs w:val="32"/>
          <w:lang w:val="en-US" w:eastAsia="zh-CN"/>
        </w:rPr>
        <w:t>实施情况：本项目于2023年1月13日完成招投标工作，目前进行换热站设备、材料采购制作工作，已完成工程总量约50%。</w:t>
      </w:r>
    </w:p>
    <w:p w14:paraId="7E12CD68">
      <w:pPr>
        <w:spacing w:line="560" w:lineRule="exact"/>
        <w:ind w:firstLine="64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3、资金投入和使用情况</w:t>
      </w:r>
    </w:p>
    <w:p w14:paraId="1D41B9D7">
      <w:pPr>
        <w:spacing w:line="360" w:lineRule="auto"/>
        <w:ind w:firstLine="560"/>
        <w:outlineLvl w:val="1"/>
        <w:rPr>
          <w:rFonts w:hint="eastAsia" w:ascii="仿宋_GB2312" w:hAnsi="仿宋" w:eastAsia="仿宋_GB2312" w:cs="宋体"/>
          <w:sz w:val="30"/>
          <w:szCs w:val="30"/>
        </w:rPr>
      </w:pPr>
      <w:r>
        <w:rPr>
          <w:rFonts w:hint="eastAsia" w:ascii="仿宋_GB2312" w:hAnsi="仿宋" w:eastAsia="仿宋_GB2312" w:cs="宋体"/>
          <w:sz w:val="30"/>
          <w:szCs w:val="30"/>
        </w:rPr>
        <w:t>资金投入情况：该项目年初预算数</w:t>
      </w:r>
      <w:r>
        <w:rPr>
          <w:rFonts w:hint="eastAsia" w:ascii="仿宋_GB2312" w:hAnsi="仿宋" w:eastAsia="仿宋_GB2312" w:cs="宋体"/>
          <w:sz w:val="30"/>
          <w:szCs w:val="30"/>
          <w:lang w:val="en-US" w:eastAsia="zh-CN"/>
        </w:rPr>
        <w:t>1000</w:t>
      </w:r>
      <w:r>
        <w:rPr>
          <w:rFonts w:hint="eastAsia" w:ascii="仿宋_GB2312" w:hAnsi="仿宋" w:eastAsia="仿宋_GB2312" w:cs="宋体"/>
          <w:sz w:val="30"/>
          <w:szCs w:val="30"/>
        </w:rPr>
        <w:t>万元，全年预算数</w:t>
      </w:r>
      <w:r>
        <w:rPr>
          <w:rFonts w:hint="eastAsia" w:ascii="仿宋_GB2312" w:hAnsi="仿宋" w:eastAsia="仿宋_GB2312" w:cs="宋体"/>
          <w:sz w:val="30"/>
          <w:szCs w:val="30"/>
          <w:lang w:val="en-US" w:eastAsia="zh-CN"/>
        </w:rPr>
        <w:t>1000</w:t>
      </w:r>
      <w:r>
        <w:rPr>
          <w:rFonts w:hint="eastAsia" w:ascii="仿宋_GB2312" w:hAnsi="仿宋" w:eastAsia="仿宋_GB2312" w:cs="宋体"/>
          <w:sz w:val="30"/>
          <w:szCs w:val="30"/>
        </w:rPr>
        <w:t>万元，实际总投入</w:t>
      </w:r>
      <w:r>
        <w:rPr>
          <w:rFonts w:hint="eastAsia" w:ascii="仿宋_GB2312" w:hAnsi="仿宋" w:cs="宋体"/>
          <w:sz w:val="30"/>
          <w:szCs w:val="30"/>
          <w:lang w:val="en-US" w:eastAsia="zh-CN"/>
        </w:rPr>
        <w:t>0</w:t>
      </w:r>
      <w:r>
        <w:rPr>
          <w:rFonts w:hint="eastAsia" w:ascii="仿宋_GB2312" w:hAnsi="仿宋" w:eastAsia="仿宋_GB2312" w:cs="宋体"/>
          <w:sz w:val="30"/>
          <w:szCs w:val="30"/>
        </w:rPr>
        <w:t>万元。</w:t>
      </w:r>
    </w:p>
    <w:p w14:paraId="27DAB18E">
      <w:pPr>
        <w:spacing w:line="560" w:lineRule="exact"/>
        <w:ind w:firstLine="640"/>
        <w:rPr>
          <w:rFonts w:hint="default" w:ascii="仿宋_GB2312"/>
          <w:sz w:val="32"/>
          <w:szCs w:val="32"/>
          <w:lang w:val="en-US" w:eastAsia="zh-CN"/>
        </w:rPr>
      </w:pPr>
      <w:r>
        <w:rPr>
          <w:rFonts w:hint="eastAsia" w:ascii="仿宋_GB2312"/>
          <w:sz w:val="32"/>
          <w:szCs w:val="32"/>
          <w:lang w:val="en-US" w:eastAsia="zh-CN"/>
        </w:rPr>
        <w:t>资金使用情况：该项目年初预算数1000万元，全年预算数1000万元，全年执行数0万元，预算执行率为0%。</w:t>
      </w:r>
    </w:p>
    <w:p w14:paraId="6115ABF8">
      <w:pPr>
        <w:spacing w:line="360" w:lineRule="auto"/>
        <w:ind w:firstLine="560"/>
        <w:rPr>
          <w:rFonts w:ascii="仿宋_GB2312" w:hAnsi="Times New Roman" w:cs="Times New Roman"/>
          <w:b/>
          <w:bCs/>
          <w:kern w:val="0"/>
          <w:szCs w:val="28"/>
          <w:lang w:bidi="en-US"/>
        </w:rPr>
      </w:pPr>
    </w:p>
    <w:p w14:paraId="73644953">
      <w:pPr>
        <w:rPr>
          <w:rFonts w:ascii="仿宋_GB2312" w:hAnsi="Times New Roman" w:cs="Times New Roman"/>
          <w:b/>
          <w:bCs/>
          <w:kern w:val="0"/>
          <w:szCs w:val="28"/>
          <w:lang w:bidi="en-US"/>
        </w:rPr>
      </w:pPr>
      <w:bookmarkStart w:id="5" w:name="_Toc67911603"/>
      <w:bookmarkStart w:id="6" w:name="_Toc4316"/>
      <w:r>
        <w:rPr>
          <w:rFonts w:hint="eastAsia" w:ascii="仿宋_GB2312" w:hAnsi="Times New Roman" w:cs="Times New Roman"/>
          <w:b/>
          <w:bCs/>
          <w:kern w:val="0"/>
          <w:szCs w:val="28"/>
          <w:lang w:bidi="en-US"/>
        </w:rPr>
        <w:t>（二）项目绩效目标：</w:t>
      </w:r>
      <w:bookmarkEnd w:id="5"/>
      <w:bookmarkEnd w:id="6"/>
    </w:p>
    <w:p w14:paraId="116BF252">
      <w:pPr>
        <w:spacing w:line="360" w:lineRule="auto"/>
        <w:ind w:firstLine="640"/>
        <w:rPr>
          <w:rFonts w:hint="eastAsia" w:ascii="仿宋_GB2312" w:hAnsi="仿宋" w:eastAsia="仿宋_GB2312" w:cs="宋体"/>
          <w:sz w:val="30"/>
          <w:szCs w:val="30"/>
        </w:rPr>
      </w:pPr>
      <w:r>
        <w:rPr>
          <w:rFonts w:hint="eastAsia" w:ascii="方正仿宋简体" w:hAnsi="方正仿宋简体" w:eastAsia="方正仿宋简体" w:cs="方正仿宋简体"/>
          <w:sz w:val="32"/>
          <w:szCs w:val="32"/>
        </w:rPr>
        <w:t>1、总体目标：</w:t>
      </w:r>
      <w:r>
        <w:rPr>
          <w:rFonts w:hint="eastAsia" w:ascii="仿宋_GB2312" w:hAnsi="仿宋" w:eastAsia="仿宋_GB2312" w:cs="宋体"/>
          <w:sz w:val="30"/>
          <w:szCs w:val="30"/>
        </w:rPr>
        <w:t>改造及增容 29 座换热站设备、新增自动化远程控制系统和监控系统设计改造</w:t>
      </w:r>
      <w:r>
        <w:rPr>
          <w:rFonts w:hint="eastAsia" w:ascii="仿宋_GB2312" w:hAnsi="仿宋" w:eastAsia="仿宋_GB2312" w:cs="宋体"/>
          <w:sz w:val="30"/>
          <w:szCs w:val="30"/>
          <w:lang w:eastAsia="zh-CN"/>
        </w:rPr>
        <w:t>，</w:t>
      </w:r>
      <w:r>
        <w:rPr>
          <w:rFonts w:hint="eastAsia" w:ascii="仿宋_GB2312" w:hAnsi="仿宋" w:eastAsia="仿宋_GB2312" w:cs="宋体"/>
          <w:sz w:val="30"/>
          <w:szCs w:val="30"/>
          <w:lang w:val="en-US" w:eastAsia="zh-CN"/>
        </w:rPr>
        <w:t>淘汰能耗较高设备，更换节能型供暖设备，降低能源消耗，提高供热服务质量。</w:t>
      </w:r>
    </w:p>
    <w:p w14:paraId="3395970F">
      <w:pPr>
        <w:spacing w:line="360" w:lineRule="auto"/>
        <w:ind w:firstLine="64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2、阶段性目标：</w:t>
      </w:r>
      <w:r>
        <w:rPr>
          <w:rFonts w:hint="eastAsia" w:ascii="仿宋_GB2312" w:hAnsi="仿宋" w:eastAsia="仿宋_GB2312" w:cs="宋体"/>
          <w:sz w:val="30"/>
          <w:szCs w:val="30"/>
          <w:lang w:val="en-US" w:eastAsia="zh-CN"/>
        </w:rPr>
        <w:t>完成投资1000万元，计划2022年9月20日挂网招标，2022年10月20日完成招投标工作，2023年6月30日前完成水泵30台、水箱10套、远传温度变送器、热计量表183套安装等工作。</w:t>
      </w:r>
      <w:r>
        <w:rPr>
          <w:rFonts w:hint="eastAsia" w:ascii="仿宋_GB2312" w:hAnsi="仿宋" w:eastAsia="仿宋_GB2312" w:cs="宋体"/>
          <w:sz w:val="30"/>
          <w:szCs w:val="30"/>
        </w:rPr>
        <w:t xml:space="preserve"> </w:t>
      </w:r>
    </w:p>
    <w:p w14:paraId="7D7186B2">
      <w:pPr>
        <w:spacing w:line="360" w:lineRule="auto"/>
        <w:ind w:firstLine="0" w:firstLineChars="0"/>
        <w:outlineLvl w:val="0"/>
        <w:rPr>
          <w:b/>
          <w:bCs/>
          <w:sz w:val="32"/>
          <w:szCs w:val="32"/>
        </w:rPr>
      </w:pPr>
      <w:bookmarkStart w:id="7" w:name="_Toc7851"/>
      <w:bookmarkStart w:id="8" w:name="_Toc67911604"/>
      <w:r>
        <w:rPr>
          <w:rFonts w:hint="eastAsia"/>
          <w:b/>
          <w:bCs/>
          <w:sz w:val="32"/>
          <w:szCs w:val="32"/>
        </w:rPr>
        <w:t>二、绩效评价工作开展情况</w:t>
      </w:r>
      <w:bookmarkEnd w:id="7"/>
      <w:bookmarkEnd w:id="8"/>
    </w:p>
    <w:p w14:paraId="5529C0AA">
      <w:pPr>
        <w:spacing w:line="360" w:lineRule="auto"/>
        <w:ind w:firstLine="560"/>
        <w:outlineLvl w:val="1"/>
        <w:rPr>
          <w:b/>
          <w:bCs/>
          <w:szCs w:val="28"/>
        </w:rPr>
      </w:pPr>
      <w:bookmarkStart w:id="9" w:name="_Toc67911605"/>
      <w:bookmarkStart w:id="10" w:name="_Toc20568"/>
      <w:r>
        <w:rPr>
          <w:rFonts w:hint="eastAsia"/>
          <w:b/>
          <w:bCs/>
          <w:szCs w:val="28"/>
        </w:rPr>
        <w:t>（一）绩效评价目的、对象和范围</w:t>
      </w:r>
      <w:bookmarkEnd w:id="9"/>
      <w:bookmarkEnd w:id="10"/>
    </w:p>
    <w:p w14:paraId="124C0589">
      <w:pPr>
        <w:spacing w:line="360" w:lineRule="auto"/>
        <w:ind w:firstLine="560"/>
        <w:rPr>
          <w:rFonts w:ascii="仿宋_GB2312"/>
          <w:b/>
          <w:bCs/>
        </w:rPr>
      </w:pPr>
      <w:r>
        <w:rPr>
          <w:rFonts w:hint="eastAsia" w:ascii="仿宋_GB2312"/>
          <w:b/>
          <w:bCs/>
        </w:rPr>
        <w:t>1.评价目的</w:t>
      </w:r>
    </w:p>
    <w:p w14:paraId="7B4AE1F1">
      <w:pPr>
        <w:spacing w:line="360" w:lineRule="auto"/>
        <w:ind w:firstLine="560"/>
        <w:rPr>
          <w:rFonts w:ascii="仿宋_GB2312"/>
          <w:b/>
          <w:bCs/>
        </w:rPr>
      </w:pPr>
      <w:r>
        <w:rPr>
          <w:rFonts w:hint="eastAsia" w:ascii="仿宋_GB231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14:paraId="7EC29EDF">
      <w:pPr>
        <w:numPr>
          <w:ilvl w:val="0"/>
          <w:numId w:val="1"/>
        </w:numPr>
        <w:spacing w:line="360" w:lineRule="auto"/>
        <w:ind w:firstLine="560"/>
        <w:rPr>
          <w:rStyle w:val="11"/>
        </w:rPr>
      </w:pPr>
      <w:r>
        <w:rPr>
          <w:rFonts w:hint="eastAsia" w:ascii="仿宋_GB2312"/>
          <w:b/>
          <w:bCs/>
        </w:rPr>
        <w:t>绩效评价对象</w:t>
      </w:r>
      <w:r>
        <w:rPr>
          <w:rStyle w:val="11"/>
          <w:rFonts w:hint="eastAsia"/>
          <w:lang w:eastAsia="zh-CN"/>
        </w:rPr>
        <w:t>：</w:t>
      </w:r>
      <w:r>
        <w:rPr>
          <w:rFonts w:hint="eastAsia" w:ascii="仿宋_GB2312"/>
        </w:rPr>
        <w:t>额敏县集中供热换热站提标改造工程项目</w:t>
      </w:r>
    </w:p>
    <w:p w14:paraId="5E5A5ED9">
      <w:pPr>
        <w:spacing w:line="560" w:lineRule="exact"/>
        <w:ind w:firstLine="560"/>
        <w:rPr>
          <w:rFonts w:ascii="仿宋_GB2312"/>
        </w:rPr>
      </w:pPr>
    </w:p>
    <w:p w14:paraId="067BC825">
      <w:pPr>
        <w:spacing w:line="560" w:lineRule="exact"/>
        <w:ind w:firstLine="560"/>
        <w:rPr>
          <w:rFonts w:ascii="仿宋_GB2312"/>
          <w:b/>
          <w:bCs/>
        </w:rPr>
      </w:pPr>
      <w:r>
        <w:rPr>
          <w:rFonts w:hint="eastAsia" w:ascii="仿宋_GB2312"/>
          <w:b/>
          <w:bCs/>
        </w:rPr>
        <w:t>3、绩效评价范围</w:t>
      </w:r>
    </w:p>
    <w:p w14:paraId="54D33AC1">
      <w:pPr>
        <w:spacing w:line="560" w:lineRule="exact"/>
        <w:ind w:firstLine="560"/>
        <w:rPr>
          <w:rFonts w:ascii="仿宋_GB2312"/>
        </w:rPr>
      </w:pPr>
      <w:r>
        <w:rPr>
          <w:rFonts w:hint="eastAsia" w:ascii="仿宋_GB2312"/>
        </w:rPr>
        <w:t>本次评价从项目决策（包括绩效目标、决策过程）、项目管理（包括项目资金、项目实施）、项目产出（包括项目产出数量、产出质量、产出时效和产出成本）项目效益四个维度进行额敏县集中供热换热站提标改造工程项目评价，评价核心为专项资金的支出完成情况和效果。</w:t>
      </w:r>
    </w:p>
    <w:p w14:paraId="1B8D4C82">
      <w:pPr>
        <w:spacing w:line="360" w:lineRule="auto"/>
        <w:ind w:firstLine="560"/>
        <w:outlineLvl w:val="1"/>
        <w:rPr>
          <w:rFonts w:ascii="仿宋_GB2312"/>
          <w:b/>
          <w:bCs/>
        </w:rPr>
      </w:pPr>
      <w:bookmarkStart w:id="11" w:name="_Toc23646"/>
      <w:bookmarkStart w:id="12" w:name="_Toc67911606"/>
      <w:bookmarkStart w:id="13" w:name="_Hlk67586765"/>
      <w:r>
        <w:rPr>
          <w:rFonts w:hint="eastAsia" w:ascii="仿宋_GB2312"/>
          <w:b/>
          <w:bCs/>
        </w:rPr>
        <w:t>（二）绩效评价原则、指标体系、方法及标准</w:t>
      </w:r>
      <w:bookmarkEnd w:id="11"/>
      <w:bookmarkEnd w:id="12"/>
    </w:p>
    <w:bookmarkEnd w:id="13"/>
    <w:p w14:paraId="38476812">
      <w:pPr>
        <w:spacing w:line="360" w:lineRule="auto"/>
        <w:ind w:firstLine="560"/>
        <w:rPr>
          <w:rFonts w:ascii="仿宋_GB2312"/>
          <w:b/>
          <w:bCs/>
        </w:rPr>
      </w:pPr>
      <w:r>
        <w:rPr>
          <w:rFonts w:hint="eastAsia" w:ascii="仿宋_GB2312"/>
          <w:b/>
          <w:bCs/>
        </w:rPr>
        <w:t>1</w:t>
      </w:r>
      <w:r>
        <w:rPr>
          <w:rFonts w:ascii="仿宋_GB2312"/>
          <w:b/>
          <w:bCs/>
        </w:rPr>
        <w:t>.</w:t>
      </w:r>
      <w:r>
        <w:rPr>
          <w:rFonts w:hint="eastAsia" w:ascii="仿宋_GB2312"/>
          <w:b/>
          <w:bCs/>
        </w:rPr>
        <w:t>评价原则</w:t>
      </w:r>
    </w:p>
    <w:p w14:paraId="3DB9BEAF">
      <w:pPr>
        <w:spacing w:line="360" w:lineRule="auto"/>
        <w:ind w:firstLine="560"/>
        <w:rPr>
          <w:rFonts w:ascii="仿宋_GB2312"/>
        </w:rPr>
      </w:pPr>
      <w:r>
        <w:rPr>
          <w:rFonts w:hint="eastAsia" w:ascii="仿宋_GB2312"/>
        </w:rPr>
        <w:t>（1）科学规范原则：绩效评价应当严格执行规定的程序，按照科学可行的要求，采用定量与定性分析相结合的方法。</w:t>
      </w:r>
    </w:p>
    <w:p w14:paraId="63F41DA2">
      <w:pPr>
        <w:spacing w:line="360" w:lineRule="auto"/>
        <w:ind w:firstLine="560"/>
        <w:rPr>
          <w:rFonts w:ascii="仿宋_GB2312"/>
        </w:rPr>
      </w:pPr>
      <w:r>
        <w:rPr>
          <w:rFonts w:hint="eastAsia" w:ascii="仿宋_GB2312"/>
        </w:rPr>
        <w:t>（2）公正公开原则：绩效评价应当符合真实、客观、公正的要求，依法公开并接受监督。</w:t>
      </w:r>
    </w:p>
    <w:p w14:paraId="5131A419">
      <w:pPr>
        <w:spacing w:line="360" w:lineRule="auto"/>
        <w:ind w:firstLine="560"/>
        <w:rPr>
          <w:rFonts w:ascii="仿宋_GB2312"/>
        </w:rPr>
      </w:pPr>
      <w:r>
        <w:rPr>
          <w:rFonts w:hint="eastAsia" w:ascii="仿宋_GB2312"/>
        </w:rPr>
        <w:t>（3）分级分类原则：根据评价对象特点分类组织实施。</w:t>
      </w:r>
    </w:p>
    <w:p w14:paraId="20B918B4">
      <w:pPr>
        <w:spacing w:line="360" w:lineRule="auto"/>
        <w:ind w:firstLine="560"/>
        <w:rPr>
          <w:rFonts w:ascii="仿宋_GB2312"/>
        </w:rPr>
      </w:pPr>
      <w:r>
        <w:rPr>
          <w:rFonts w:hint="eastAsia" w:ascii="仿宋_GB2312"/>
        </w:rPr>
        <w:t>（4）绩效相关原则：绩效评价应当针对具体支出及其产出绩效进行，评价结果应当清晰反映支出和产出绩效之间的紧密对应关系。</w:t>
      </w:r>
    </w:p>
    <w:p w14:paraId="2CC76026">
      <w:pPr>
        <w:spacing w:line="360" w:lineRule="auto"/>
        <w:ind w:firstLine="560"/>
        <w:rPr>
          <w:rFonts w:ascii="仿宋_GB2312"/>
          <w:b/>
          <w:bCs/>
        </w:rPr>
      </w:pPr>
      <w:r>
        <w:rPr>
          <w:rFonts w:ascii="仿宋_GB2312"/>
          <w:b/>
          <w:bCs/>
        </w:rPr>
        <w:t>2.</w:t>
      </w:r>
      <w:r>
        <w:rPr>
          <w:rFonts w:hint="eastAsia" w:ascii="仿宋_GB2312"/>
          <w:b/>
          <w:bCs/>
        </w:rPr>
        <w:t>评价指标体系</w:t>
      </w:r>
    </w:p>
    <w:p w14:paraId="31C74762">
      <w:pPr>
        <w:spacing w:line="600" w:lineRule="exact"/>
        <w:ind w:firstLine="640"/>
        <w:jc w:val="left"/>
        <w:rPr>
          <w:rFonts w:ascii="仿宋_GB2312" w:hAnsi="仿宋_GB2312" w:cs="仿宋_GB2312"/>
          <w:sz w:val="32"/>
          <w:szCs w:val="32"/>
        </w:rPr>
      </w:pPr>
      <w:r>
        <w:rPr>
          <w:rFonts w:hint="eastAsia" w:ascii="仿宋_GB2312" w:hAnsi="仿宋_GB2312" w:cs="仿宋_GB2312"/>
          <w:sz w:val="32"/>
          <w:szCs w:val="32"/>
        </w:rPr>
        <w:t>本次绩效评价指标体系是根据《项目支出绩效评价管理办法》（财预〔2020〕10号）对于指标体系的要求和规范，结合项目特有属性和实际情况，考虑实用性、可操作性和可实现性，从决策、过程、产出、效益四个维度进行指标细化和分值设定。</w:t>
      </w:r>
      <w:r>
        <w:rPr>
          <w:rFonts w:hint="eastAsia" w:ascii="仿宋_GB2312"/>
        </w:rPr>
        <w:t>额敏县集中供热换热站提标改造工程项目</w:t>
      </w:r>
      <w:r>
        <w:rPr>
          <w:rFonts w:hint="eastAsia" w:ascii="Times New Roman" w:hAnsi="Times New Roman" w:cs="Times New Roman"/>
          <w:sz w:val="30"/>
          <w:szCs w:val="24"/>
        </w:rPr>
        <w:t>支出绩效评价指标体系(详见</w:t>
      </w:r>
      <w:r>
        <w:rPr>
          <w:rFonts w:ascii="Times New Roman" w:hAnsi="Times New Roman" w:cs="Times New Roman"/>
          <w:sz w:val="30"/>
          <w:szCs w:val="24"/>
        </w:rPr>
        <w:t>附件</w:t>
      </w:r>
      <w:r>
        <w:rPr>
          <w:rFonts w:hint="eastAsia" w:ascii="Times New Roman" w:hAnsi="Times New Roman" w:cs="Times New Roman"/>
          <w:sz w:val="30"/>
          <w:szCs w:val="24"/>
        </w:rPr>
        <w:t>3)：</w:t>
      </w:r>
      <w:bookmarkStart w:id="14" w:name="_Hlk67586038"/>
    </w:p>
    <w:p w14:paraId="4EB4183E">
      <w:pPr>
        <w:spacing w:line="560" w:lineRule="exact"/>
        <w:ind w:firstLine="560"/>
        <w:rPr>
          <w:rFonts w:ascii="Times New Roman" w:hAnsi="Times New Roman" w:cs="Times New Roman"/>
          <w:sz w:val="30"/>
          <w:szCs w:val="24"/>
        </w:rPr>
      </w:pPr>
      <w:r>
        <w:rPr>
          <w:rFonts w:ascii="仿宋_GB2312"/>
          <w:b/>
          <w:bCs/>
        </w:rPr>
        <w:t>3.</w:t>
      </w:r>
      <w:r>
        <w:rPr>
          <w:rFonts w:hint="eastAsia" w:ascii="仿宋_GB2312"/>
          <w:b/>
          <w:bCs/>
        </w:rPr>
        <w:t>评价方法</w:t>
      </w:r>
    </w:p>
    <w:bookmarkEnd w:id="14"/>
    <w:p w14:paraId="436EC2BF">
      <w:pPr>
        <w:pStyle w:val="7"/>
        <w:spacing w:line="600" w:lineRule="exact"/>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按照《项目支出绩效评价管理办法》（财预〔2020〕10号）规定的具体评价方法和流程，评价小组运用定量和定性分析相结合的方法，综合运用比较法、因素分析法、成本效益法、公众评判等方法进行项目实施的绩效评价。</w:t>
      </w:r>
    </w:p>
    <w:p w14:paraId="52E4EED0">
      <w:pPr>
        <w:spacing w:line="360" w:lineRule="auto"/>
        <w:ind w:firstLine="560"/>
        <w:rPr>
          <w:rFonts w:ascii="仿宋_GB2312"/>
          <w:b/>
          <w:bCs/>
        </w:rPr>
      </w:pPr>
      <w:r>
        <w:rPr>
          <w:rFonts w:ascii="仿宋_GB2312"/>
          <w:b/>
          <w:bCs/>
        </w:rPr>
        <w:t>4.</w:t>
      </w:r>
      <w:r>
        <w:rPr>
          <w:rFonts w:hint="eastAsia" w:ascii="仿宋_GB2312"/>
          <w:b/>
          <w:bCs/>
        </w:rPr>
        <w:t>评价标准</w:t>
      </w:r>
    </w:p>
    <w:p w14:paraId="71E2DCCA">
      <w:pPr>
        <w:spacing w:line="360" w:lineRule="auto"/>
        <w:ind w:firstLine="560"/>
        <w:rPr>
          <w:rFonts w:ascii="仿宋_GB2312"/>
        </w:rPr>
      </w:pPr>
      <w:r>
        <w:rPr>
          <w:rFonts w:hint="eastAsia" w:ascii="仿宋_GB2312"/>
        </w:rPr>
        <w:t>绩效评价标准主要包括计划标准、行业标准、历史标准等，用于对绩效指标完成情况进行比较。</w:t>
      </w:r>
    </w:p>
    <w:p w14:paraId="3857DEF5">
      <w:pPr>
        <w:spacing w:line="360" w:lineRule="auto"/>
        <w:ind w:firstLine="560"/>
        <w:rPr>
          <w:rFonts w:ascii="仿宋_GB2312"/>
        </w:rPr>
      </w:pPr>
      <w:r>
        <w:rPr>
          <w:rFonts w:hint="eastAsia" w:ascii="仿宋_GB2312"/>
        </w:rPr>
        <w:t>（1）计划标准。指以预先制定的目标、计划、预算、定额等作为评价标准。</w:t>
      </w:r>
    </w:p>
    <w:p w14:paraId="73757EEC">
      <w:pPr>
        <w:spacing w:line="360" w:lineRule="auto"/>
        <w:ind w:firstLine="560"/>
        <w:rPr>
          <w:rFonts w:ascii="仿宋_GB2312"/>
        </w:rPr>
      </w:pPr>
      <w:r>
        <w:rPr>
          <w:rFonts w:hint="eastAsia" w:ascii="仿宋_GB2312"/>
        </w:rPr>
        <w:t>（2）行业标准。指参照国家公布的行业指标数据制定的评价标准。</w:t>
      </w:r>
    </w:p>
    <w:p w14:paraId="008B9920">
      <w:pPr>
        <w:spacing w:line="360" w:lineRule="auto"/>
        <w:ind w:firstLine="560"/>
        <w:rPr>
          <w:rFonts w:ascii="仿宋_GB2312"/>
        </w:rPr>
      </w:pPr>
      <w:r>
        <w:rPr>
          <w:rFonts w:hint="eastAsia" w:ascii="仿宋_GB2312"/>
        </w:rPr>
        <w:t>（3）历史标准。指参照历史数据制定的评价标准，为体现绩效改进的原则，在可实现的条件下应当确定相对较高的评价标准。</w:t>
      </w:r>
    </w:p>
    <w:p w14:paraId="04F10F8F">
      <w:pPr>
        <w:spacing w:line="360" w:lineRule="auto"/>
        <w:ind w:firstLine="560"/>
        <w:rPr>
          <w:rFonts w:ascii="仿宋_GB2312"/>
        </w:rPr>
      </w:pPr>
      <w:r>
        <w:rPr>
          <w:rFonts w:hint="eastAsia" w:ascii="仿宋_GB2312"/>
        </w:rPr>
        <w:t>在上述评价标准的基础上，本次评价依据以下文件为重要指导和准绳：</w:t>
      </w:r>
    </w:p>
    <w:p w14:paraId="5F1820CA">
      <w:pPr>
        <w:spacing w:line="360" w:lineRule="auto"/>
        <w:ind w:firstLine="560"/>
        <w:rPr>
          <w:rFonts w:ascii="仿宋_GB2312"/>
        </w:rPr>
      </w:pPr>
      <w:r>
        <w:rPr>
          <w:rFonts w:hint="eastAsia" w:ascii="黑体" w:hAnsi="黑体" w:eastAsia="黑体" w:cs="Times New Roman"/>
          <w:szCs w:val="28"/>
        </w:rPr>
        <w:t>·</w:t>
      </w:r>
      <w:r>
        <w:rPr>
          <w:rFonts w:hint="eastAsia" w:ascii="仿宋_GB2312"/>
        </w:rPr>
        <w:t>《中共中央国务院关于全面实施预算绩效管理的意见》（中发〔2018〕34号）；</w:t>
      </w:r>
    </w:p>
    <w:p w14:paraId="6A5FA25F">
      <w:pPr>
        <w:spacing w:line="360" w:lineRule="auto"/>
        <w:ind w:firstLine="560"/>
        <w:rPr>
          <w:rFonts w:ascii="仿宋_GB2312"/>
        </w:rPr>
      </w:pPr>
      <w:r>
        <w:rPr>
          <w:rFonts w:hint="eastAsia" w:ascii="黑体" w:hAnsi="黑体" w:eastAsia="黑体" w:cs="Times New Roman"/>
          <w:szCs w:val="28"/>
        </w:rPr>
        <w:t>·</w:t>
      </w:r>
      <w:r>
        <w:rPr>
          <w:rFonts w:hint="eastAsia" w:ascii="仿宋_GB2312"/>
        </w:rPr>
        <w:t>《项目支出绩效评价管理办法》（财预〔2020〕10号）；</w:t>
      </w:r>
    </w:p>
    <w:p w14:paraId="19285650">
      <w:pPr>
        <w:spacing w:line="360" w:lineRule="auto"/>
        <w:ind w:firstLine="560"/>
        <w:rPr>
          <w:rFonts w:ascii="仿宋_GB2312"/>
        </w:rPr>
      </w:pPr>
      <w:r>
        <w:rPr>
          <w:rFonts w:hint="eastAsia" w:ascii="黑体" w:hAnsi="黑体" w:eastAsia="黑体" w:cs="Times New Roman"/>
          <w:szCs w:val="28"/>
        </w:rPr>
        <w:t>·</w:t>
      </w:r>
      <w:r>
        <w:rPr>
          <w:rFonts w:hint="eastAsia" w:ascii="仿宋_GB2312"/>
        </w:rPr>
        <w:t>《自治区党委自治区人民政府关于全面实施预算绩效管理的实施意见》（新党发〔2018〕30号）；</w:t>
      </w:r>
    </w:p>
    <w:p w14:paraId="5A4F6A8B">
      <w:pPr>
        <w:spacing w:line="360" w:lineRule="auto"/>
        <w:ind w:firstLine="560"/>
        <w:rPr>
          <w:rFonts w:hint="eastAsia" w:ascii="仿宋_GB2312"/>
        </w:rPr>
      </w:pPr>
      <w:r>
        <w:rPr>
          <w:rFonts w:hint="eastAsia" w:ascii="黑体" w:hAnsi="黑体" w:eastAsia="黑体" w:cs="Times New Roman"/>
          <w:szCs w:val="28"/>
        </w:rPr>
        <w:t>·</w:t>
      </w:r>
      <w:r>
        <w:rPr>
          <w:rFonts w:hint="eastAsia" w:ascii="仿宋_GB2312"/>
        </w:rPr>
        <w:t>《202</w:t>
      </w:r>
      <w:r>
        <w:rPr>
          <w:rFonts w:ascii="仿宋_GB2312"/>
        </w:rPr>
        <w:t>3</w:t>
      </w:r>
      <w:r>
        <w:rPr>
          <w:rFonts w:hint="eastAsia" w:ascii="仿宋_GB2312"/>
        </w:rPr>
        <w:t>年度推进塔城地区全面实施预算绩效管理工作规划》。</w:t>
      </w:r>
    </w:p>
    <w:p w14:paraId="16D21AE0">
      <w:pPr>
        <w:spacing w:line="360" w:lineRule="auto"/>
        <w:ind w:firstLine="560"/>
        <w:outlineLvl w:val="1"/>
        <w:rPr>
          <w:rFonts w:ascii="仿宋_GB2312"/>
          <w:b/>
          <w:bCs/>
        </w:rPr>
      </w:pPr>
      <w:bookmarkStart w:id="15" w:name="_Toc67911607"/>
      <w:bookmarkStart w:id="16" w:name="_Toc12695"/>
      <w:r>
        <w:rPr>
          <w:rFonts w:hint="eastAsia" w:ascii="仿宋_GB2312"/>
          <w:b/>
          <w:bCs/>
        </w:rPr>
        <w:t>（三）绩效评价工作过程</w:t>
      </w:r>
      <w:bookmarkEnd w:id="15"/>
      <w:bookmarkEnd w:id="16"/>
    </w:p>
    <w:p w14:paraId="26C85824">
      <w:pPr>
        <w:spacing w:line="360" w:lineRule="auto"/>
        <w:ind w:firstLine="560"/>
        <w:rPr>
          <w:rFonts w:ascii="仿宋_GB2312"/>
        </w:rPr>
      </w:pPr>
      <w:r>
        <w:rPr>
          <w:rFonts w:hint="eastAsia" w:ascii="仿宋_GB231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14:paraId="5E4EE6DC">
      <w:pPr>
        <w:ind w:firstLine="640"/>
        <w:rPr>
          <w:rFonts w:ascii="仿宋_GB2312"/>
          <w:b/>
          <w:bCs/>
          <w:sz w:val="32"/>
          <w:szCs w:val="32"/>
        </w:rPr>
      </w:pPr>
      <w:bookmarkStart w:id="17" w:name="_Toc67911608"/>
      <w:bookmarkStart w:id="18" w:name="_Toc28860"/>
      <w:r>
        <w:rPr>
          <w:rFonts w:hint="eastAsia" w:ascii="仿宋_GB2312"/>
          <w:b/>
          <w:bCs/>
          <w:sz w:val="32"/>
          <w:szCs w:val="32"/>
        </w:rPr>
        <w:t>三、综合评价情况及评价结论</w:t>
      </w:r>
      <w:bookmarkEnd w:id="17"/>
      <w:bookmarkEnd w:id="18"/>
    </w:p>
    <w:p w14:paraId="6816ADC8">
      <w:pPr>
        <w:spacing w:line="360" w:lineRule="auto"/>
        <w:ind w:firstLine="560"/>
        <w:outlineLvl w:val="1"/>
        <w:rPr>
          <w:rFonts w:ascii="仿宋_GB2312"/>
          <w:b/>
          <w:bCs/>
          <w:szCs w:val="28"/>
        </w:rPr>
      </w:pPr>
      <w:bookmarkStart w:id="19" w:name="_Toc67911609"/>
      <w:bookmarkStart w:id="20" w:name="_Toc14030"/>
      <w:r>
        <w:rPr>
          <w:rFonts w:hint="eastAsia" w:ascii="仿宋_GB2312"/>
          <w:b/>
          <w:bCs/>
          <w:szCs w:val="28"/>
        </w:rPr>
        <w:t>（一）评价结论</w:t>
      </w:r>
      <w:bookmarkEnd w:id="19"/>
      <w:bookmarkEnd w:id="20"/>
    </w:p>
    <w:p w14:paraId="0E304400">
      <w:pPr>
        <w:ind w:firstLine="560"/>
        <w:rPr>
          <w:rFonts w:hint="eastAsia" w:ascii="仿宋_GB2312"/>
          <w:b/>
          <w:bCs/>
          <w:szCs w:val="28"/>
        </w:rPr>
      </w:pPr>
      <w:r>
        <w:rPr>
          <w:rFonts w:hint="eastAsia" w:ascii="仿宋_GB2312"/>
          <w:szCs w:val="28"/>
        </w:rPr>
        <w:t>结合项目特点，制定符合项目实际的绩效评价指标体系及评分标准，通过数据采集、问卷调查及访谈等形式，对2</w:t>
      </w:r>
      <w:r>
        <w:rPr>
          <w:rFonts w:ascii="仿宋_GB2312"/>
          <w:szCs w:val="28"/>
        </w:rPr>
        <w:t>0</w:t>
      </w:r>
      <w:r>
        <w:rPr>
          <w:rFonts w:hint="eastAsia" w:ascii="仿宋_GB2312"/>
          <w:szCs w:val="28"/>
        </w:rPr>
        <w:t>22年额敏县集中供热换热站提标改造工程项目进行客观评价</w:t>
      </w:r>
      <w:bookmarkStart w:id="21" w:name="_Toc23106"/>
      <w:bookmarkStart w:id="22" w:name="_Toc67911610"/>
      <w:r>
        <w:rPr>
          <w:rFonts w:hint="eastAsia" w:ascii="仿宋_GB2312"/>
          <w:szCs w:val="28"/>
        </w:rPr>
        <w:t>。</w:t>
      </w:r>
    </w:p>
    <w:bookmarkEnd w:id="21"/>
    <w:bookmarkEnd w:id="22"/>
    <w:p w14:paraId="053B5FBC">
      <w:pPr>
        <w:spacing w:line="360" w:lineRule="auto"/>
        <w:ind w:firstLine="0" w:firstLineChars="0"/>
        <w:outlineLvl w:val="0"/>
        <w:rPr>
          <w:rFonts w:ascii="仿宋_GB2312"/>
          <w:b/>
          <w:bCs/>
          <w:sz w:val="32"/>
          <w:szCs w:val="32"/>
        </w:rPr>
      </w:pPr>
      <w:bookmarkStart w:id="23" w:name="_Toc67911611"/>
      <w:bookmarkStart w:id="24" w:name="_Toc20059"/>
      <w:r>
        <w:rPr>
          <w:rFonts w:hint="eastAsia" w:ascii="仿宋_GB2312"/>
          <w:b/>
          <w:bCs/>
          <w:sz w:val="32"/>
          <w:szCs w:val="32"/>
        </w:rPr>
        <w:t>四、绩效评价指标分析</w:t>
      </w:r>
      <w:bookmarkEnd w:id="23"/>
      <w:bookmarkEnd w:id="24"/>
    </w:p>
    <w:p w14:paraId="50252258">
      <w:pPr>
        <w:spacing w:line="360" w:lineRule="auto"/>
        <w:ind w:firstLine="560"/>
        <w:outlineLvl w:val="1"/>
        <w:rPr>
          <w:rFonts w:ascii="仿宋_GB2312"/>
          <w:szCs w:val="28"/>
        </w:rPr>
      </w:pPr>
      <w:bookmarkStart w:id="25" w:name="_Toc67911612"/>
      <w:bookmarkStart w:id="26" w:name="_Toc22626"/>
      <w:r>
        <w:rPr>
          <w:rFonts w:hint="eastAsia" w:ascii="仿宋_GB2312"/>
          <w:b/>
          <w:bCs/>
          <w:szCs w:val="28"/>
        </w:rPr>
        <w:t>（一）项目决策情况</w:t>
      </w:r>
      <w:bookmarkEnd w:id="25"/>
      <w:bookmarkEnd w:id="26"/>
    </w:p>
    <w:p w14:paraId="54B78967">
      <w:pPr>
        <w:ind w:firstLine="560"/>
        <w:rPr>
          <w:rFonts w:hint="eastAsia" w:ascii="仿宋_GB2312"/>
          <w:szCs w:val="28"/>
        </w:rPr>
      </w:pPr>
      <w:r>
        <w:rPr>
          <w:rFonts w:hint="eastAsia" w:ascii="仿宋_GB2312"/>
          <w:szCs w:val="28"/>
        </w:rPr>
        <w:t>1.立项依据充分性：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p>
    <w:p w14:paraId="62A60EF9">
      <w:pPr>
        <w:ind w:firstLine="560"/>
        <w:rPr>
          <w:rFonts w:hint="eastAsia" w:ascii="仿宋_GB2312"/>
          <w:szCs w:val="28"/>
        </w:rPr>
      </w:pPr>
      <w:r>
        <w:rPr>
          <w:rFonts w:hint="eastAsia" w:ascii="仿宋_GB2312"/>
          <w:szCs w:val="28"/>
        </w:rPr>
        <w:t>2.立项程序规范性:项目按照规定的程序申请设立,审批文件、材料符合相关要求,事前已经过必要的可行性研究、专家论证、风险评估、绩效评估、集体决策。</w:t>
      </w:r>
    </w:p>
    <w:p w14:paraId="0F2F5FE7">
      <w:pPr>
        <w:ind w:firstLine="560"/>
        <w:rPr>
          <w:rFonts w:hint="eastAsia" w:ascii="仿宋_GB2312"/>
          <w:szCs w:val="28"/>
        </w:rPr>
      </w:pPr>
      <w:r>
        <w:rPr>
          <w:rFonts w:hint="eastAsia" w:ascii="仿宋_GB2312"/>
          <w:szCs w:val="28"/>
        </w:rPr>
        <w:t>3.绩效目标合理性:项目有绩效目标,项目绩效目标与实际工作内容具有相关性,项目预期产出效益和效果符合正常的业绩水平,与预算确定的项目投资额或资金量相匹配。</w:t>
      </w:r>
    </w:p>
    <w:p w14:paraId="11A31580">
      <w:pPr>
        <w:ind w:firstLine="560"/>
        <w:rPr>
          <w:rFonts w:hint="eastAsia" w:ascii="仿宋_GB2312"/>
          <w:szCs w:val="28"/>
        </w:rPr>
      </w:pPr>
      <w:r>
        <w:rPr>
          <w:rFonts w:hint="eastAsia" w:ascii="仿宋_GB2312"/>
          <w:szCs w:val="28"/>
        </w:rPr>
        <w:t>4.绩效指标明确性:将项目绩效目标细化分解为具体的绩效指标,通过清晰、可衡量的指标值予以体现,与项目目标任务数或计划数相对应。</w:t>
      </w:r>
    </w:p>
    <w:p w14:paraId="1DF42D63">
      <w:pPr>
        <w:ind w:firstLine="560"/>
        <w:rPr>
          <w:rFonts w:hint="eastAsia" w:ascii="仿宋_GB2312"/>
          <w:szCs w:val="28"/>
        </w:rPr>
      </w:pPr>
      <w:r>
        <w:rPr>
          <w:rFonts w:hint="eastAsia" w:ascii="仿宋_GB2312"/>
          <w:szCs w:val="28"/>
        </w:rPr>
        <w:t>5.预算编制科学性:预算编制经过科学论证,预算内容与项目内容匹配,预算额度测算依据充分，按照标准编制,预算确定的项目投资额或资金量与工作任务相匹配。</w:t>
      </w:r>
    </w:p>
    <w:p w14:paraId="12BD6AB0">
      <w:pPr>
        <w:ind w:firstLine="560"/>
        <w:rPr>
          <w:rFonts w:hint="eastAsia" w:ascii="仿宋_GB2312"/>
          <w:szCs w:val="28"/>
        </w:rPr>
      </w:pPr>
      <w:r>
        <w:rPr>
          <w:rFonts w:hint="eastAsia" w:ascii="仿宋_GB2312"/>
          <w:szCs w:val="28"/>
        </w:rPr>
        <w:t>6.资金分配合理性:预算资金分配依据充分,资金分配额度合理，与项目单位或地方实际相适应。</w:t>
      </w:r>
    </w:p>
    <w:p w14:paraId="7C129056">
      <w:pPr>
        <w:spacing w:line="360" w:lineRule="auto"/>
        <w:ind w:firstLine="560"/>
        <w:outlineLvl w:val="1"/>
        <w:rPr>
          <w:rFonts w:ascii="仿宋_GB2312"/>
          <w:b/>
          <w:bCs/>
          <w:szCs w:val="28"/>
        </w:rPr>
      </w:pPr>
      <w:bookmarkStart w:id="27" w:name="_Toc16968"/>
      <w:bookmarkStart w:id="28" w:name="_Toc67911613"/>
      <w:r>
        <w:rPr>
          <w:rFonts w:hint="eastAsia" w:ascii="仿宋_GB2312"/>
          <w:b/>
          <w:bCs/>
          <w:szCs w:val="28"/>
        </w:rPr>
        <w:t>（二）项目过程情况</w:t>
      </w:r>
      <w:bookmarkEnd w:id="27"/>
      <w:bookmarkEnd w:id="28"/>
    </w:p>
    <w:p w14:paraId="3260F5B4">
      <w:pPr>
        <w:spacing w:line="360" w:lineRule="auto"/>
        <w:ind w:firstLine="560"/>
        <w:rPr>
          <w:rFonts w:ascii="仿宋_GB2312"/>
          <w:color w:val="auto"/>
          <w:szCs w:val="28"/>
        </w:rPr>
      </w:pPr>
      <w:r>
        <w:rPr>
          <w:rFonts w:ascii="仿宋_GB2312"/>
          <w:b/>
          <w:bCs/>
          <w:szCs w:val="28"/>
        </w:rPr>
        <w:t>1.</w:t>
      </w:r>
      <w:r>
        <w:rPr>
          <w:rFonts w:hint="eastAsia" w:ascii="仿宋_GB2312"/>
          <w:b/>
          <w:bCs/>
          <w:szCs w:val="28"/>
        </w:rPr>
        <w:t>资金到位率</w:t>
      </w:r>
      <w:r>
        <w:rPr>
          <w:rFonts w:hint="eastAsia" w:ascii="仿宋_GB2312"/>
          <w:b/>
          <w:bCs/>
          <w:color w:val="auto"/>
          <w:szCs w:val="28"/>
        </w:rPr>
        <w:t>：</w:t>
      </w:r>
      <w:r>
        <w:rPr>
          <w:color w:val="auto"/>
        </w:rPr>
        <w:t xml:space="preserve"> </w:t>
      </w:r>
      <w:r>
        <w:rPr>
          <w:rFonts w:hint="eastAsia"/>
          <w:color w:val="auto"/>
        </w:rPr>
        <w:t>实际到位资金</w:t>
      </w:r>
      <w:r>
        <w:rPr>
          <w:rFonts w:hint="eastAsia"/>
          <w:color w:val="auto"/>
          <w:lang w:val="en-US" w:eastAsia="zh-CN"/>
        </w:rPr>
        <w:t>1000</w:t>
      </w:r>
      <w:r>
        <w:rPr>
          <w:rFonts w:hint="eastAsia"/>
          <w:color w:val="auto"/>
        </w:rPr>
        <w:t>万元，预算资金</w:t>
      </w:r>
      <w:r>
        <w:rPr>
          <w:rFonts w:hint="eastAsia"/>
          <w:color w:val="auto"/>
          <w:lang w:val="en-US" w:eastAsia="zh-CN"/>
        </w:rPr>
        <w:t>1000</w:t>
      </w:r>
      <w:r>
        <w:rPr>
          <w:rFonts w:hint="eastAsia"/>
          <w:color w:val="auto"/>
        </w:rPr>
        <w:t>万元，资金到位率100%。</w:t>
      </w:r>
    </w:p>
    <w:p w14:paraId="4EB20DFA">
      <w:pPr>
        <w:spacing w:line="360" w:lineRule="auto"/>
        <w:ind w:firstLine="560"/>
        <w:rPr>
          <w:rFonts w:ascii="仿宋_GB2312"/>
          <w:color w:val="auto"/>
          <w:szCs w:val="28"/>
        </w:rPr>
      </w:pPr>
      <w:r>
        <w:rPr>
          <w:rFonts w:hint="eastAsia" w:ascii="仿宋_GB2312"/>
          <w:b/>
          <w:bCs/>
          <w:color w:val="auto"/>
          <w:szCs w:val="28"/>
        </w:rPr>
        <w:t>2.预算执行率：</w:t>
      </w:r>
      <w:r>
        <w:rPr>
          <w:rFonts w:hint="eastAsia"/>
          <w:color w:val="auto"/>
        </w:rPr>
        <w:t>年初预算数</w:t>
      </w:r>
      <w:r>
        <w:rPr>
          <w:rFonts w:hint="eastAsia"/>
          <w:color w:val="auto"/>
          <w:lang w:val="en-US" w:eastAsia="zh-CN"/>
        </w:rPr>
        <w:t>1000</w:t>
      </w:r>
      <w:r>
        <w:rPr>
          <w:rFonts w:hint="eastAsia"/>
          <w:color w:val="auto"/>
        </w:rPr>
        <w:t>万元，全年预算数</w:t>
      </w:r>
      <w:r>
        <w:rPr>
          <w:rFonts w:hint="eastAsia"/>
          <w:color w:val="auto"/>
          <w:lang w:val="en-US" w:eastAsia="zh-CN"/>
        </w:rPr>
        <w:t>1000</w:t>
      </w:r>
      <w:r>
        <w:rPr>
          <w:rFonts w:hint="eastAsia"/>
          <w:color w:val="auto"/>
        </w:rPr>
        <w:t>万元，全年执行数</w:t>
      </w:r>
      <w:r>
        <w:rPr>
          <w:rFonts w:hint="eastAsia"/>
          <w:color w:val="auto"/>
          <w:lang w:val="en-US" w:eastAsia="zh-CN"/>
        </w:rPr>
        <w:t>0</w:t>
      </w:r>
      <w:r>
        <w:rPr>
          <w:rFonts w:hint="eastAsia"/>
          <w:color w:val="auto"/>
        </w:rPr>
        <w:t>万元，预算执行率为</w:t>
      </w:r>
      <w:r>
        <w:rPr>
          <w:rFonts w:hint="eastAsia"/>
          <w:color w:val="auto"/>
          <w:lang w:val="en-US" w:eastAsia="zh-CN"/>
        </w:rPr>
        <w:t>0</w:t>
      </w:r>
      <w:r>
        <w:rPr>
          <w:rFonts w:hint="eastAsia"/>
          <w:color w:val="auto"/>
        </w:rPr>
        <w:t>%。</w:t>
      </w:r>
    </w:p>
    <w:p w14:paraId="041EDFF8">
      <w:pPr>
        <w:spacing w:line="360" w:lineRule="auto"/>
        <w:ind w:firstLine="560"/>
        <w:rPr>
          <w:rFonts w:ascii="仿宋_GB2312"/>
          <w:szCs w:val="28"/>
        </w:rPr>
      </w:pPr>
      <w:r>
        <w:rPr>
          <w:rFonts w:hint="eastAsia" w:ascii="仿宋_GB2312"/>
          <w:b/>
          <w:bCs/>
          <w:szCs w:val="28"/>
        </w:rPr>
        <w:t>3.资金使用合规性：</w:t>
      </w:r>
      <w:r>
        <w:rPr>
          <w:rFonts w:hint="eastAsia" w:ascii="仿宋_GB2312"/>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w:t>
      </w:r>
    </w:p>
    <w:p w14:paraId="6AD03693">
      <w:pPr>
        <w:spacing w:line="360" w:lineRule="auto"/>
        <w:ind w:firstLine="560"/>
        <w:rPr>
          <w:rFonts w:ascii="仿宋_GB2312"/>
          <w:szCs w:val="28"/>
        </w:rPr>
      </w:pPr>
      <w:r>
        <w:rPr>
          <w:rFonts w:hint="eastAsia" w:ascii="仿宋_GB2312"/>
          <w:b/>
          <w:bCs/>
          <w:szCs w:val="28"/>
          <w:lang w:val="en-US" w:eastAsia="zh-CN"/>
        </w:rPr>
        <w:t>4</w:t>
      </w:r>
      <w:r>
        <w:rPr>
          <w:rFonts w:hint="eastAsia" w:ascii="仿宋_GB2312"/>
          <w:b/>
          <w:bCs/>
          <w:szCs w:val="28"/>
        </w:rPr>
        <w:t>.管理制度健全性：</w:t>
      </w:r>
      <w:r>
        <w:rPr>
          <w:rStyle w:val="14"/>
          <w:rFonts w:hint="eastAsia"/>
          <w:color w:val="auto"/>
          <w:lang w:val="en-US" w:eastAsia="zh-CN"/>
        </w:rPr>
        <w:t>额敏县住房和城乡建设局</w:t>
      </w:r>
      <w:r>
        <w:rPr>
          <w:rFonts w:hint="eastAsia" w:ascii="仿宋_GB2312"/>
          <w:szCs w:val="28"/>
        </w:rPr>
        <w:t>已制定相应的财务和业务管理制度，且制度合法、合规、完整，为项目顺利实施提供重要保障。</w:t>
      </w:r>
    </w:p>
    <w:p w14:paraId="5EF2512F">
      <w:pPr>
        <w:autoSpaceDE w:val="0"/>
        <w:spacing w:line="600" w:lineRule="exact"/>
        <w:ind w:firstLine="560"/>
        <w:rPr>
          <w:rFonts w:ascii="仿宋_GB2312" w:hAnsi="仿宋" w:cs="宋体"/>
          <w:b/>
          <w:kern w:val="0"/>
          <w:szCs w:val="28"/>
        </w:rPr>
      </w:pPr>
      <w:r>
        <w:rPr>
          <w:rFonts w:hint="eastAsia" w:ascii="仿宋_GB2312"/>
          <w:b/>
          <w:bCs/>
          <w:szCs w:val="28"/>
          <w:lang w:val="en-US" w:eastAsia="zh-CN"/>
        </w:rPr>
        <w:t>5</w:t>
      </w:r>
      <w:r>
        <w:rPr>
          <w:rFonts w:hint="eastAsia" w:ascii="仿宋_GB2312"/>
          <w:b/>
          <w:bCs/>
          <w:szCs w:val="28"/>
        </w:rPr>
        <w:t>.制度执行有效性：</w:t>
      </w:r>
      <w:r>
        <w:rPr>
          <w:rFonts w:hint="eastAsia" w:ascii="仿宋_GB2312"/>
          <w:szCs w:val="28"/>
        </w:rPr>
        <w:t>根据现场调研和资料抽查情况，</w:t>
      </w:r>
      <w:r>
        <w:rPr>
          <w:rStyle w:val="14"/>
          <w:rFonts w:hint="eastAsia"/>
          <w:color w:val="auto"/>
        </w:rPr>
        <w:t>塔城地区公共图书馆免费开放专项</w:t>
      </w:r>
      <w:r>
        <w:rPr>
          <w:rFonts w:hint="eastAsia" w:ascii="仿宋_GB2312"/>
          <w:szCs w:val="28"/>
        </w:rPr>
        <w:t>已制严格遵守相关法律法规和相关管理规定，项目调整及支出调整手续完备，整体管理合理有序，项目完成后，及时将会计凭证、固定资产入库单等相关资料分类归档，制度执行有效。</w:t>
      </w:r>
      <w:bookmarkStart w:id="29" w:name="_Hlk67670213"/>
    </w:p>
    <w:bookmarkEnd w:id="29"/>
    <w:p w14:paraId="0D8DA322">
      <w:pPr>
        <w:spacing w:line="360" w:lineRule="auto"/>
        <w:ind w:firstLine="560"/>
        <w:outlineLvl w:val="1"/>
        <w:rPr>
          <w:rFonts w:ascii="仿宋_GB2312"/>
          <w:b/>
          <w:bCs/>
          <w:szCs w:val="28"/>
        </w:rPr>
      </w:pPr>
      <w:bookmarkStart w:id="30" w:name="_Toc31704"/>
      <w:bookmarkStart w:id="31" w:name="_Toc67911614"/>
      <w:r>
        <w:rPr>
          <w:rFonts w:hint="eastAsia" w:ascii="仿宋_GB2312"/>
          <w:b/>
          <w:bCs/>
          <w:szCs w:val="28"/>
        </w:rPr>
        <w:t>（三）项目产出情况</w:t>
      </w:r>
      <w:bookmarkEnd w:id="30"/>
      <w:bookmarkEnd w:id="31"/>
    </w:p>
    <w:p w14:paraId="48A29853">
      <w:pPr>
        <w:spacing w:line="360" w:lineRule="auto"/>
        <w:ind w:firstLine="560"/>
        <w:rPr>
          <w:rFonts w:ascii="仿宋_GB2312"/>
          <w:b/>
          <w:bCs/>
          <w:szCs w:val="28"/>
        </w:rPr>
      </w:pPr>
      <w:r>
        <w:rPr>
          <w:rFonts w:hint="eastAsia" w:ascii="仿宋_GB2312"/>
          <w:b/>
          <w:bCs/>
          <w:szCs w:val="28"/>
        </w:rPr>
        <w:t>1</w:t>
      </w:r>
      <w:r>
        <w:rPr>
          <w:rFonts w:ascii="仿宋_GB2312"/>
          <w:b/>
          <w:bCs/>
          <w:szCs w:val="28"/>
        </w:rPr>
        <w:t>.</w:t>
      </w:r>
      <w:r>
        <w:rPr>
          <w:rFonts w:hint="eastAsia" w:ascii="仿宋_GB2312"/>
          <w:b/>
          <w:bCs/>
          <w:szCs w:val="28"/>
        </w:rPr>
        <w:t>产出数量</w:t>
      </w:r>
    </w:p>
    <w:p w14:paraId="3F894FD8">
      <w:pPr>
        <w:spacing w:line="360" w:lineRule="auto"/>
        <w:ind w:firstLine="560"/>
        <w:rPr>
          <w:rFonts w:ascii="仿宋_GB2312"/>
          <w:color w:val="auto"/>
          <w:szCs w:val="28"/>
        </w:rPr>
      </w:pPr>
      <w:r>
        <w:rPr>
          <w:rFonts w:hint="eastAsia"/>
          <w:color w:val="auto"/>
        </w:rPr>
        <w:t>数量指标：指标1：安装水泵，指标值：</w:t>
      </w:r>
      <w:r>
        <w:rPr>
          <w:rFonts w:hint="eastAsia"/>
          <w:color w:val="auto"/>
          <w:lang w:val="en-US" w:eastAsia="zh-CN"/>
        </w:rPr>
        <w:t>30台</w:t>
      </w:r>
      <w:r>
        <w:rPr>
          <w:rFonts w:hint="eastAsia"/>
          <w:color w:val="auto"/>
        </w:rPr>
        <w:t>，实际完成值</w:t>
      </w:r>
      <w:r>
        <w:rPr>
          <w:rFonts w:hint="eastAsia"/>
          <w:color w:val="auto"/>
          <w:lang w:val="en-US" w:eastAsia="zh-CN"/>
        </w:rPr>
        <w:t>0</w:t>
      </w:r>
      <w:r>
        <w:rPr>
          <w:rFonts w:hint="eastAsia"/>
          <w:color w:val="auto"/>
        </w:rPr>
        <w:t>，指标完成率</w:t>
      </w:r>
      <w:r>
        <w:rPr>
          <w:rFonts w:hint="eastAsia"/>
          <w:color w:val="auto"/>
          <w:lang w:val="en-US" w:eastAsia="zh-CN"/>
        </w:rPr>
        <w:t>0</w:t>
      </w:r>
      <w:r>
        <w:rPr>
          <w:rFonts w:hint="eastAsia"/>
          <w:color w:val="auto"/>
        </w:rPr>
        <w:t>%，偏差原因：</w:t>
      </w:r>
      <w:r>
        <w:rPr>
          <w:rFonts w:hint="eastAsia"/>
          <w:color w:val="auto"/>
          <w:lang w:val="en-US" w:eastAsia="zh-CN"/>
        </w:rPr>
        <w:t>受疫情影响，招标工作推迟，导致整体计划任务未完成</w:t>
      </w:r>
      <w:r>
        <w:rPr>
          <w:rFonts w:hint="eastAsia" w:ascii="仿宋_GB2312"/>
          <w:color w:val="auto"/>
          <w:szCs w:val="28"/>
        </w:rPr>
        <w:t>。</w:t>
      </w:r>
    </w:p>
    <w:p w14:paraId="20B38269">
      <w:pPr>
        <w:spacing w:line="360" w:lineRule="auto"/>
        <w:ind w:firstLine="560"/>
        <w:rPr>
          <w:rFonts w:ascii="仿宋_GB2312"/>
          <w:b/>
          <w:bCs/>
          <w:color w:val="auto"/>
          <w:szCs w:val="28"/>
        </w:rPr>
      </w:pPr>
      <w:r>
        <w:rPr>
          <w:rFonts w:hint="eastAsia" w:ascii="仿宋_GB2312"/>
          <w:b/>
          <w:bCs/>
          <w:color w:val="auto"/>
          <w:szCs w:val="28"/>
        </w:rPr>
        <w:t>2</w:t>
      </w:r>
      <w:r>
        <w:rPr>
          <w:rFonts w:ascii="仿宋_GB2312"/>
          <w:b/>
          <w:bCs/>
          <w:color w:val="auto"/>
          <w:szCs w:val="28"/>
        </w:rPr>
        <w:t>.</w:t>
      </w:r>
      <w:r>
        <w:rPr>
          <w:rFonts w:hint="eastAsia" w:ascii="仿宋_GB2312"/>
          <w:b/>
          <w:bCs/>
          <w:color w:val="auto"/>
          <w:szCs w:val="28"/>
        </w:rPr>
        <w:t>产出质量</w:t>
      </w:r>
    </w:p>
    <w:p w14:paraId="16F3811B">
      <w:pPr>
        <w:spacing w:line="360" w:lineRule="auto"/>
        <w:ind w:firstLine="560"/>
        <w:rPr>
          <w:rFonts w:hint="eastAsia" w:ascii="仿宋_GB2312" w:eastAsia="仿宋_GB2312"/>
          <w:color w:val="auto"/>
          <w:szCs w:val="28"/>
          <w:lang w:eastAsia="zh-CN"/>
        </w:rPr>
      </w:pPr>
      <w:r>
        <w:rPr>
          <w:rFonts w:hint="eastAsia"/>
          <w:color w:val="auto"/>
        </w:rPr>
        <w:t>质量指标：指标1：项目设计变更率，指标值：≤10%</w:t>
      </w:r>
      <w:r>
        <w:rPr>
          <w:color w:val="auto"/>
        </w:rPr>
        <w:t xml:space="preserve"> </w:t>
      </w:r>
      <w:r>
        <w:rPr>
          <w:rFonts w:hint="eastAsia"/>
          <w:color w:val="auto"/>
        </w:rPr>
        <w:t>，实际完成值≤10%，指标完成率</w:t>
      </w:r>
      <w:r>
        <w:rPr>
          <w:rFonts w:hint="eastAsia"/>
          <w:color w:val="auto"/>
          <w:lang w:val="en-US" w:eastAsia="zh-CN"/>
        </w:rPr>
        <w:t>100</w:t>
      </w:r>
      <w:r>
        <w:rPr>
          <w:rFonts w:hint="eastAsia"/>
          <w:color w:val="auto"/>
        </w:rPr>
        <w:t>%</w:t>
      </w:r>
      <w:r>
        <w:rPr>
          <w:rFonts w:hint="eastAsia"/>
          <w:color w:val="auto"/>
          <w:lang w:eastAsia="zh-CN"/>
        </w:rPr>
        <w:t>。</w:t>
      </w:r>
    </w:p>
    <w:p w14:paraId="1277879A">
      <w:pPr>
        <w:spacing w:line="360" w:lineRule="auto"/>
        <w:ind w:firstLine="560"/>
        <w:rPr>
          <w:rFonts w:ascii="仿宋_GB2312"/>
          <w:b/>
          <w:bCs/>
          <w:color w:val="auto"/>
          <w:szCs w:val="28"/>
        </w:rPr>
      </w:pPr>
      <w:r>
        <w:rPr>
          <w:rFonts w:hint="eastAsia" w:ascii="仿宋_GB2312"/>
          <w:b/>
          <w:bCs/>
          <w:color w:val="auto"/>
          <w:szCs w:val="28"/>
        </w:rPr>
        <w:t>3</w:t>
      </w:r>
      <w:r>
        <w:rPr>
          <w:rFonts w:ascii="仿宋_GB2312"/>
          <w:b/>
          <w:bCs/>
          <w:color w:val="auto"/>
          <w:szCs w:val="28"/>
        </w:rPr>
        <w:t>.</w:t>
      </w:r>
      <w:r>
        <w:rPr>
          <w:rFonts w:hint="eastAsia" w:ascii="仿宋_GB2312"/>
          <w:b/>
          <w:bCs/>
          <w:color w:val="auto"/>
          <w:szCs w:val="28"/>
        </w:rPr>
        <w:t>产出时效</w:t>
      </w:r>
    </w:p>
    <w:p w14:paraId="1A81A682">
      <w:pPr>
        <w:spacing w:line="360" w:lineRule="auto"/>
        <w:ind w:firstLine="560"/>
        <w:rPr>
          <w:rFonts w:ascii="仿宋_GB2312"/>
          <w:b/>
          <w:bCs/>
          <w:color w:val="auto"/>
          <w:szCs w:val="28"/>
        </w:rPr>
      </w:pPr>
      <w:r>
        <w:rPr>
          <w:rFonts w:hint="eastAsia"/>
          <w:color w:val="auto"/>
        </w:rPr>
        <w:t>时效指标：指标1：债券资金拨付及时率，指标值：</w:t>
      </w:r>
      <w:r>
        <w:rPr>
          <w:rFonts w:hint="eastAsia"/>
          <w:color w:val="auto"/>
          <w:lang w:val="en-US" w:eastAsia="zh-CN"/>
        </w:rPr>
        <w:t>100%</w:t>
      </w:r>
      <w:r>
        <w:rPr>
          <w:rFonts w:hint="eastAsia"/>
          <w:color w:val="auto"/>
        </w:rPr>
        <w:t>，实际完成值</w:t>
      </w:r>
      <w:r>
        <w:rPr>
          <w:rFonts w:hint="eastAsia"/>
          <w:color w:val="auto"/>
          <w:lang w:val="en-US" w:eastAsia="zh-CN"/>
        </w:rPr>
        <w:t>0%</w:t>
      </w:r>
      <w:r>
        <w:rPr>
          <w:rFonts w:hint="eastAsia"/>
          <w:color w:val="auto"/>
        </w:rPr>
        <w:t>，指标完成率</w:t>
      </w:r>
      <w:r>
        <w:rPr>
          <w:rFonts w:hint="eastAsia"/>
          <w:color w:val="auto"/>
          <w:lang w:val="en-US" w:eastAsia="zh-CN"/>
        </w:rPr>
        <w:t>0</w:t>
      </w:r>
      <w:r>
        <w:rPr>
          <w:rFonts w:hint="eastAsia"/>
          <w:color w:val="auto"/>
        </w:rPr>
        <w:t>%，偏差原因：</w:t>
      </w:r>
      <w:r>
        <w:rPr>
          <w:rFonts w:hint="eastAsia"/>
          <w:color w:val="auto"/>
          <w:lang w:val="en-US" w:eastAsia="zh-CN"/>
        </w:rPr>
        <w:t>受疫情影响，2022年度招标工作未完成</w:t>
      </w:r>
      <w:r>
        <w:rPr>
          <w:rFonts w:hint="eastAsia"/>
          <w:color w:val="auto"/>
        </w:rPr>
        <w:t>；</w:t>
      </w:r>
    </w:p>
    <w:p w14:paraId="0F4DE5E4">
      <w:pPr>
        <w:spacing w:line="360" w:lineRule="auto"/>
        <w:ind w:firstLine="560"/>
        <w:rPr>
          <w:rFonts w:ascii="仿宋_GB2312"/>
          <w:b/>
          <w:bCs/>
          <w:color w:val="auto"/>
          <w:szCs w:val="28"/>
        </w:rPr>
      </w:pPr>
      <w:r>
        <w:rPr>
          <w:rFonts w:hint="eastAsia" w:ascii="仿宋_GB2312"/>
          <w:b/>
          <w:bCs/>
          <w:color w:val="auto"/>
          <w:szCs w:val="28"/>
        </w:rPr>
        <w:t>4</w:t>
      </w:r>
      <w:r>
        <w:rPr>
          <w:rFonts w:ascii="仿宋_GB2312"/>
          <w:b/>
          <w:bCs/>
          <w:color w:val="auto"/>
          <w:szCs w:val="28"/>
        </w:rPr>
        <w:t>.</w:t>
      </w:r>
      <w:r>
        <w:rPr>
          <w:rFonts w:hint="eastAsia" w:ascii="仿宋_GB2312"/>
          <w:b/>
          <w:bCs/>
          <w:color w:val="auto"/>
          <w:szCs w:val="28"/>
        </w:rPr>
        <w:t>产出成本</w:t>
      </w:r>
    </w:p>
    <w:p w14:paraId="52AC46CF">
      <w:pPr>
        <w:spacing w:line="360" w:lineRule="auto"/>
        <w:ind w:firstLine="560"/>
        <w:rPr>
          <w:rFonts w:ascii="仿宋_GB2312"/>
          <w:b/>
          <w:bCs/>
          <w:color w:val="auto"/>
          <w:szCs w:val="28"/>
        </w:rPr>
      </w:pPr>
      <w:r>
        <w:rPr>
          <w:rFonts w:hint="eastAsia"/>
          <w:color w:val="auto"/>
        </w:rPr>
        <w:t>成本指标：指标1：债券资金成本，指标值：</w:t>
      </w:r>
      <w:r>
        <w:rPr>
          <w:rFonts w:hint="eastAsia"/>
          <w:color w:val="auto"/>
          <w:lang w:val="en-US" w:eastAsia="zh-CN"/>
        </w:rPr>
        <w:t>1000万元</w:t>
      </w:r>
      <w:r>
        <w:rPr>
          <w:rFonts w:hint="eastAsia"/>
          <w:color w:val="auto"/>
        </w:rPr>
        <w:t xml:space="preserve">，实际完成值 </w:t>
      </w:r>
      <w:r>
        <w:rPr>
          <w:rFonts w:hint="eastAsia"/>
          <w:color w:val="auto"/>
          <w:lang w:val="en-US" w:eastAsia="zh-CN"/>
        </w:rPr>
        <w:t>0万元</w:t>
      </w:r>
      <w:r>
        <w:rPr>
          <w:rFonts w:hint="eastAsia"/>
          <w:color w:val="auto"/>
        </w:rPr>
        <w:t>，指标完成率</w:t>
      </w:r>
      <w:r>
        <w:rPr>
          <w:rFonts w:hint="eastAsia"/>
          <w:color w:val="auto"/>
          <w:lang w:val="en-US" w:eastAsia="zh-CN"/>
        </w:rPr>
        <w:t>0</w:t>
      </w:r>
      <w:r>
        <w:rPr>
          <w:color w:val="auto"/>
        </w:rPr>
        <w:t xml:space="preserve"> </w:t>
      </w:r>
      <w:r>
        <w:rPr>
          <w:rFonts w:hint="eastAsia"/>
          <w:color w:val="auto"/>
        </w:rPr>
        <w:t>%，偏差原因：</w:t>
      </w:r>
      <w:r>
        <w:rPr>
          <w:rFonts w:hint="eastAsia"/>
          <w:color w:val="auto"/>
          <w:lang w:val="en-US" w:eastAsia="zh-CN"/>
        </w:rPr>
        <w:t>2022年项目招标工作未完成，未开工，资金未支付</w:t>
      </w:r>
      <w:r>
        <w:rPr>
          <w:rFonts w:hint="eastAsia"/>
          <w:color w:val="auto"/>
        </w:rPr>
        <w:t>；</w:t>
      </w:r>
    </w:p>
    <w:p w14:paraId="0DB40454">
      <w:pPr>
        <w:spacing w:line="360" w:lineRule="auto"/>
        <w:ind w:firstLine="560"/>
        <w:outlineLvl w:val="1"/>
        <w:rPr>
          <w:rFonts w:ascii="仿宋_GB2312"/>
          <w:b/>
          <w:bCs/>
          <w:szCs w:val="28"/>
        </w:rPr>
      </w:pPr>
      <w:bookmarkStart w:id="32" w:name="_Toc31697"/>
      <w:bookmarkStart w:id="33" w:name="_Toc67911615"/>
      <w:r>
        <w:rPr>
          <w:rFonts w:hint="eastAsia" w:ascii="仿宋_GB2312"/>
          <w:b/>
          <w:bCs/>
          <w:szCs w:val="28"/>
        </w:rPr>
        <w:t>（四）项目效益情况</w:t>
      </w:r>
      <w:bookmarkEnd w:id="32"/>
      <w:bookmarkEnd w:id="33"/>
    </w:p>
    <w:p w14:paraId="2CC55AD4">
      <w:pPr>
        <w:spacing w:line="360" w:lineRule="auto"/>
        <w:ind w:firstLine="560"/>
        <w:rPr>
          <w:rFonts w:ascii="仿宋_GB2312"/>
          <w:b/>
          <w:bCs/>
          <w:szCs w:val="28"/>
        </w:rPr>
      </w:pPr>
      <w:r>
        <w:rPr>
          <w:rFonts w:hint="eastAsia" w:ascii="仿宋_GB2312"/>
          <w:b/>
          <w:bCs/>
          <w:szCs w:val="28"/>
        </w:rPr>
        <w:t>1</w:t>
      </w:r>
      <w:r>
        <w:rPr>
          <w:rFonts w:ascii="仿宋_GB2312"/>
          <w:b/>
          <w:bCs/>
          <w:szCs w:val="28"/>
        </w:rPr>
        <w:t>.</w:t>
      </w:r>
      <w:r>
        <w:rPr>
          <w:rFonts w:hint="eastAsia" w:ascii="仿宋_GB2312"/>
          <w:b/>
          <w:bCs/>
          <w:szCs w:val="28"/>
        </w:rPr>
        <w:t>项目效益</w:t>
      </w:r>
    </w:p>
    <w:p w14:paraId="3D5B5CD7">
      <w:pPr>
        <w:spacing w:line="360" w:lineRule="auto"/>
        <w:ind w:firstLine="560"/>
        <w:rPr>
          <w:rFonts w:ascii="仿宋_GB2312"/>
          <w:b/>
          <w:bCs/>
          <w:szCs w:val="28"/>
        </w:rPr>
      </w:pPr>
      <w:r>
        <w:rPr>
          <w:rFonts w:hint="eastAsia" w:ascii="仿宋_GB2312"/>
          <w:b/>
          <w:bCs/>
          <w:szCs w:val="28"/>
        </w:rPr>
        <w:t>（1）实施效益</w:t>
      </w:r>
    </w:p>
    <w:p w14:paraId="03461FC5">
      <w:pPr>
        <w:spacing w:line="360" w:lineRule="auto"/>
        <w:ind w:firstLine="560"/>
        <w:rPr>
          <w:rFonts w:ascii="仿宋_GB2312"/>
          <w:szCs w:val="28"/>
        </w:rPr>
      </w:pPr>
      <w:r>
        <w:rPr>
          <w:rFonts w:hint="eastAsia" w:ascii="仿宋_GB2312"/>
          <w:b/>
          <w:bCs/>
          <w:szCs w:val="28"/>
        </w:rPr>
        <w:t>经济效益指标：</w:t>
      </w:r>
      <w:r>
        <w:rPr>
          <w:rFonts w:hint="eastAsia" w:ascii="仿宋_GB2312"/>
          <w:szCs w:val="28"/>
        </w:rPr>
        <w:t>评价指标“可持续影响</w:t>
      </w:r>
      <w:r>
        <w:rPr>
          <w:rFonts w:hint="eastAsia" w:ascii="仿宋_GB2312"/>
          <w:szCs w:val="28"/>
          <w:lang w:val="en-US" w:eastAsia="zh-CN"/>
        </w:rPr>
        <w:t>指标</w:t>
      </w:r>
      <w:r>
        <w:rPr>
          <w:rFonts w:hint="eastAsia" w:ascii="仿宋_GB2312"/>
          <w:szCs w:val="28"/>
        </w:rPr>
        <w:t>”，指标值：长期促进，实际完成值：</w:t>
      </w:r>
      <w:r>
        <w:rPr>
          <w:rFonts w:hint="eastAsia" w:ascii="仿宋_GB2312"/>
          <w:szCs w:val="28"/>
          <w:lang w:val="en-US" w:eastAsia="zh-CN"/>
        </w:rPr>
        <w:t>未完成</w:t>
      </w:r>
      <w:r>
        <w:rPr>
          <w:rFonts w:hint="eastAsia" w:ascii="仿宋_GB2312"/>
          <w:szCs w:val="28"/>
        </w:rPr>
        <w:t>。</w:t>
      </w:r>
    </w:p>
    <w:p w14:paraId="11FA5FBB">
      <w:pPr>
        <w:spacing w:line="360" w:lineRule="auto"/>
        <w:ind w:firstLine="560"/>
        <w:rPr>
          <w:rFonts w:ascii="仿宋_GB2312"/>
          <w:szCs w:val="28"/>
        </w:rPr>
      </w:pPr>
      <w:r>
        <w:rPr>
          <w:rFonts w:hint="eastAsia" w:ascii="仿宋_GB2312"/>
          <w:b/>
          <w:bCs/>
          <w:szCs w:val="28"/>
        </w:rPr>
        <w:t>社会效益指标</w:t>
      </w:r>
      <w:r>
        <w:rPr>
          <w:rFonts w:hint="eastAsia" w:ascii="仿宋_GB2312"/>
          <w:szCs w:val="28"/>
        </w:rPr>
        <w:t>：评价指标“提高供热能力”，指标值：有效提升，实际完成值：</w:t>
      </w:r>
      <w:r>
        <w:rPr>
          <w:rFonts w:hint="eastAsia" w:ascii="仿宋_GB2312"/>
          <w:szCs w:val="28"/>
          <w:lang w:val="en-US" w:eastAsia="zh-CN"/>
        </w:rPr>
        <w:t>未完成</w:t>
      </w:r>
      <w:r>
        <w:rPr>
          <w:rFonts w:hint="eastAsia" w:ascii="仿宋_GB2312"/>
          <w:szCs w:val="28"/>
        </w:rPr>
        <w:t>。</w:t>
      </w:r>
    </w:p>
    <w:p w14:paraId="37655662">
      <w:pPr>
        <w:spacing w:line="360" w:lineRule="auto"/>
        <w:ind w:firstLine="560"/>
        <w:rPr>
          <w:rFonts w:ascii="仿宋_GB2312"/>
          <w:szCs w:val="28"/>
        </w:rPr>
      </w:pPr>
      <w:r>
        <w:rPr>
          <w:rFonts w:hint="eastAsia" w:ascii="仿宋_GB2312"/>
          <w:b/>
          <w:bCs/>
          <w:szCs w:val="28"/>
        </w:rPr>
        <w:t>生态效益指标</w:t>
      </w:r>
      <w:r>
        <w:rPr>
          <w:rFonts w:hint="eastAsia" w:ascii="仿宋_GB2312"/>
          <w:szCs w:val="28"/>
        </w:rPr>
        <w:t>：评价指标“降低能源消耗”，指标值：效果显著，实际完成值：</w:t>
      </w:r>
      <w:r>
        <w:rPr>
          <w:rFonts w:hint="eastAsia" w:ascii="仿宋_GB2312"/>
          <w:szCs w:val="28"/>
          <w:lang w:val="en-US" w:eastAsia="zh-CN"/>
        </w:rPr>
        <w:t>未完成</w:t>
      </w:r>
      <w:r>
        <w:rPr>
          <w:rFonts w:hint="eastAsia" w:ascii="仿宋_GB2312"/>
          <w:szCs w:val="28"/>
        </w:rPr>
        <w:t>。</w:t>
      </w:r>
    </w:p>
    <w:p w14:paraId="5BEE94C5">
      <w:pPr>
        <w:spacing w:line="360" w:lineRule="auto"/>
        <w:ind w:firstLine="560"/>
        <w:rPr>
          <w:rFonts w:ascii="仿宋_GB2312"/>
          <w:b/>
          <w:bCs/>
          <w:szCs w:val="28"/>
        </w:rPr>
      </w:pPr>
      <w:r>
        <w:rPr>
          <w:rFonts w:hint="eastAsia" w:ascii="仿宋_GB2312"/>
          <w:b/>
          <w:bCs/>
          <w:szCs w:val="28"/>
        </w:rPr>
        <w:t>（2）满意度</w:t>
      </w:r>
    </w:p>
    <w:p w14:paraId="55359C5B">
      <w:pPr>
        <w:spacing w:line="360" w:lineRule="auto"/>
        <w:ind w:firstLine="560"/>
        <w:rPr>
          <w:rFonts w:ascii="仿宋_GB2312"/>
          <w:szCs w:val="28"/>
        </w:rPr>
      </w:pPr>
      <w:r>
        <w:rPr>
          <w:rFonts w:hint="eastAsia" w:ascii="仿宋_GB2312"/>
          <w:b/>
          <w:bCs/>
          <w:szCs w:val="28"/>
        </w:rPr>
        <w:t>服务对象满意度指标：</w:t>
      </w:r>
      <w:r>
        <w:rPr>
          <w:rFonts w:hint="eastAsia" w:ascii="仿宋_GB2312"/>
          <w:szCs w:val="28"/>
        </w:rPr>
        <w:t>评价指标“受益群体满意度”，指标值：</w:t>
      </w:r>
      <w:r>
        <w:rPr>
          <w:rFonts w:hint="eastAsia" w:ascii="华文宋体" w:hAnsi="华文宋体" w:eastAsia="华文宋体"/>
          <w:szCs w:val="28"/>
        </w:rPr>
        <w:t>≥</w:t>
      </w:r>
      <w:r>
        <w:rPr>
          <w:rFonts w:hint="eastAsia" w:ascii="仿宋_GB2312" w:eastAsia="华文宋体"/>
          <w:szCs w:val="28"/>
          <w:lang w:val="en-US" w:eastAsia="zh-CN"/>
        </w:rPr>
        <w:t>95</w:t>
      </w:r>
      <w:r>
        <w:rPr>
          <w:rFonts w:hint="eastAsia" w:ascii="仿宋_GB2312"/>
          <w:szCs w:val="28"/>
        </w:rPr>
        <w:t>%，实际完成值：</w:t>
      </w:r>
      <w:r>
        <w:rPr>
          <w:rFonts w:hint="eastAsia" w:ascii="华文宋体" w:hAnsi="华文宋体" w:eastAsia="华文宋体"/>
          <w:szCs w:val="28"/>
        </w:rPr>
        <w:t>≥</w:t>
      </w:r>
      <w:r>
        <w:rPr>
          <w:rFonts w:hint="eastAsia" w:ascii="仿宋_GB2312" w:eastAsia="华文宋体"/>
          <w:szCs w:val="28"/>
          <w:lang w:val="en-US" w:eastAsia="zh-CN"/>
        </w:rPr>
        <w:t>0</w:t>
      </w:r>
      <w:r>
        <w:rPr>
          <w:rFonts w:hint="eastAsia" w:ascii="仿宋_GB2312"/>
          <w:szCs w:val="28"/>
        </w:rPr>
        <w:t>%。</w:t>
      </w:r>
    </w:p>
    <w:p w14:paraId="7A77EC80">
      <w:pPr>
        <w:spacing w:line="360" w:lineRule="auto"/>
        <w:ind w:firstLine="0" w:firstLineChars="0"/>
        <w:outlineLvl w:val="0"/>
        <w:rPr>
          <w:rFonts w:ascii="仿宋_GB2312"/>
          <w:b/>
          <w:bCs/>
          <w:sz w:val="32"/>
          <w:szCs w:val="32"/>
        </w:rPr>
      </w:pPr>
      <w:bookmarkStart w:id="34" w:name="_Toc32407"/>
      <w:bookmarkStart w:id="35" w:name="_Toc67911616"/>
      <w:r>
        <w:rPr>
          <w:rFonts w:hint="eastAsia" w:ascii="仿宋_GB2312"/>
          <w:b/>
          <w:bCs/>
          <w:sz w:val="32"/>
          <w:szCs w:val="32"/>
        </w:rPr>
        <w:t>五、预算执行进度与绩效指标偏差</w:t>
      </w:r>
      <w:bookmarkEnd w:id="34"/>
      <w:bookmarkEnd w:id="35"/>
    </w:p>
    <w:p w14:paraId="2AF8389F">
      <w:pPr>
        <w:spacing w:line="360" w:lineRule="auto"/>
        <w:ind w:firstLine="560"/>
        <w:rPr>
          <w:rFonts w:ascii="仿宋_GB2312"/>
          <w:szCs w:val="28"/>
        </w:rPr>
      </w:pPr>
      <w:r>
        <w:rPr>
          <w:rFonts w:hint="eastAsia" w:ascii="仿宋_GB2312"/>
          <w:szCs w:val="28"/>
        </w:rPr>
        <w:t>本项目预算执行率为</w:t>
      </w:r>
      <w:r>
        <w:rPr>
          <w:rFonts w:hint="eastAsia" w:ascii="仿宋_GB2312"/>
          <w:szCs w:val="28"/>
          <w:lang w:val="en-US" w:eastAsia="zh-CN"/>
        </w:rPr>
        <w:t>0</w:t>
      </w:r>
      <w:r>
        <w:rPr>
          <w:rFonts w:hint="eastAsia" w:ascii="仿宋_GB2312"/>
          <w:szCs w:val="28"/>
        </w:rPr>
        <w:t>%，指标总体完成率为</w:t>
      </w:r>
      <w:r>
        <w:rPr>
          <w:rFonts w:hint="eastAsia" w:ascii="仿宋_GB2312"/>
          <w:szCs w:val="28"/>
          <w:lang w:val="en-US" w:eastAsia="zh-CN"/>
        </w:rPr>
        <w:t>0</w:t>
      </w:r>
      <w:r>
        <w:rPr>
          <w:rFonts w:hint="eastAsia" w:ascii="仿宋_GB2312"/>
          <w:szCs w:val="28"/>
        </w:rPr>
        <w:t>%，二者之间的偏差值为</w:t>
      </w:r>
      <w:r>
        <w:rPr>
          <w:rFonts w:hint="eastAsia" w:ascii="仿宋_GB2312"/>
          <w:szCs w:val="28"/>
          <w:lang w:val="en-US" w:eastAsia="zh-CN"/>
        </w:rPr>
        <w:t>100</w:t>
      </w:r>
      <w:r>
        <w:rPr>
          <w:rFonts w:hint="eastAsia" w:ascii="仿宋_GB2312"/>
          <w:szCs w:val="28"/>
        </w:rPr>
        <w:t>%。因此，本项目</w:t>
      </w:r>
      <w:r>
        <w:rPr>
          <w:rFonts w:hint="eastAsia" w:ascii="仿宋_GB2312"/>
          <w:szCs w:val="28"/>
          <w:lang w:val="en-US" w:eastAsia="zh-CN"/>
        </w:rPr>
        <w:t>未完成</w:t>
      </w:r>
      <w:r>
        <w:rPr>
          <w:rFonts w:hint="eastAsia" w:ascii="仿宋_GB2312"/>
          <w:szCs w:val="28"/>
        </w:rPr>
        <w:t>年度总体目标。</w:t>
      </w:r>
    </w:p>
    <w:p w14:paraId="5F5A0FBF">
      <w:pPr>
        <w:spacing w:line="360" w:lineRule="auto"/>
        <w:ind w:firstLine="0" w:firstLineChars="0"/>
        <w:outlineLvl w:val="0"/>
        <w:rPr>
          <w:rFonts w:ascii="仿宋_GB2312"/>
          <w:b/>
          <w:bCs/>
          <w:sz w:val="32"/>
          <w:szCs w:val="32"/>
        </w:rPr>
      </w:pPr>
      <w:bookmarkStart w:id="36" w:name="_Toc5156"/>
      <w:bookmarkStart w:id="37" w:name="_Toc67911617"/>
      <w:r>
        <w:rPr>
          <w:rFonts w:hint="eastAsia" w:ascii="仿宋_GB2312"/>
          <w:b/>
          <w:bCs/>
          <w:sz w:val="32"/>
          <w:szCs w:val="32"/>
        </w:rPr>
        <w:t>六、主要经验及做法、存在的问题及原因分析</w:t>
      </w:r>
      <w:bookmarkEnd w:id="36"/>
      <w:bookmarkEnd w:id="37"/>
    </w:p>
    <w:p w14:paraId="3C3DBA0B">
      <w:pPr>
        <w:spacing w:line="360" w:lineRule="auto"/>
        <w:ind w:firstLine="560"/>
        <w:outlineLvl w:val="1"/>
        <w:rPr>
          <w:rFonts w:ascii="仿宋_GB2312"/>
          <w:b/>
          <w:bCs/>
          <w:szCs w:val="28"/>
        </w:rPr>
      </w:pPr>
      <w:bookmarkStart w:id="38" w:name="_Toc67911618"/>
      <w:bookmarkStart w:id="39" w:name="_Toc18450"/>
      <w:r>
        <w:rPr>
          <w:rFonts w:hint="eastAsia" w:ascii="仿宋_GB2312"/>
          <w:b/>
          <w:bCs/>
          <w:szCs w:val="28"/>
        </w:rPr>
        <w:t>（一）主要经验及做法</w:t>
      </w:r>
      <w:bookmarkEnd w:id="38"/>
      <w:bookmarkEnd w:id="39"/>
    </w:p>
    <w:p w14:paraId="01666C90">
      <w:pPr>
        <w:spacing w:line="360" w:lineRule="auto"/>
        <w:ind w:firstLine="560"/>
        <w:outlineLvl w:val="1"/>
        <w:rPr>
          <w:rFonts w:hint="eastAsia" w:ascii="仿宋_GB2312" w:hAnsi="仿宋" w:cs="宋体"/>
          <w:b w:val="0"/>
          <w:bCs/>
          <w:kern w:val="0"/>
          <w:szCs w:val="28"/>
        </w:rPr>
      </w:pPr>
      <w:bookmarkStart w:id="40" w:name="_Toc9205"/>
      <w:r>
        <w:rPr>
          <w:rFonts w:hint="eastAsia" w:ascii="仿宋_GB2312" w:hAnsi="仿宋" w:cs="宋体"/>
          <w:b w:val="0"/>
          <w:bCs/>
          <w:kern w:val="0"/>
          <w:szCs w:val="28"/>
        </w:rPr>
        <w:t>1.一是贯彻一个“责”字，加大安全质量问责的奖罚力度。二是确立一个“标”字，严格落实质量和安全工作的有关文件、规章制度、立标打样，要求人人上标准岗、干标准活、出标准果。三是突出一个“严”字。坚决执行质量一票否决制，工程质量达不到标准不验收，所有材料不经试验不使用，技术交底不清楚不开工。四是落实一个“保”在字，在员工中深打“生命至高无尚,安全责任为天”的烙印。强化职工自我保护意识教育，把责任落实到每个岗位，每道工序，确保职工人身安全。</w:t>
      </w:r>
    </w:p>
    <w:p w14:paraId="68A18DFA">
      <w:pPr>
        <w:spacing w:line="360" w:lineRule="auto"/>
        <w:ind w:firstLine="560"/>
        <w:outlineLvl w:val="1"/>
        <w:rPr>
          <w:rFonts w:hint="default" w:ascii="仿宋_GB2312"/>
          <w:bCs/>
          <w:szCs w:val="28"/>
          <w:lang w:val="en-US" w:eastAsia="zh-CN"/>
        </w:rPr>
      </w:pPr>
      <w:r>
        <w:rPr>
          <w:rFonts w:hint="eastAsia" w:ascii="仿宋_GB2312"/>
          <w:bCs/>
          <w:szCs w:val="28"/>
          <w:lang w:val="en-US" w:eastAsia="zh-CN"/>
        </w:rPr>
        <w:t>2.加强资金管理，完善资金申请、拨付、使用等各环节的管理，实现资金申请、拨付、使用规范化，在资金使用上不违规。</w:t>
      </w:r>
    </w:p>
    <w:p w14:paraId="0EDD6EAC">
      <w:pPr>
        <w:spacing w:line="360" w:lineRule="auto"/>
        <w:ind w:firstLine="560"/>
        <w:outlineLvl w:val="1"/>
        <w:rPr>
          <w:rFonts w:ascii="仿宋_GB2312"/>
          <w:b/>
          <w:bCs/>
          <w:szCs w:val="28"/>
        </w:rPr>
      </w:pPr>
      <w:r>
        <w:rPr>
          <w:rFonts w:hint="eastAsia" w:ascii="仿宋_GB2312"/>
          <w:b/>
          <w:bCs/>
          <w:szCs w:val="28"/>
        </w:rPr>
        <w:t>（二）存在的问题及原因分析</w:t>
      </w:r>
      <w:bookmarkEnd w:id="40"/>
    </w:p>
    <w:p w14:paraId="059E823A">
      <w:pPr>
        <w:spacing w:line="360" w:lineRule="auto"/>
        <w:ind w:firstLine="560"/>
        <w:rPr>
          <w:rFonts w:hint="eastAsia" w:ascii="仿宋_GB2312"/>
          <w:b w:val="0"/>
          <w:bCs w:val="0"/>
          <w:szCs w:val="28"/>
          <w:lang w:val="en-US" w:eastAsia="zh-CN"/>
        </w:rPr>
      </w:pPr>
      <w:r>
        <w:rPr>
          <w:rFonts w:hint="eastAsia" w:ascii="仿宋_GB2312"/>
          <w:b w:val="0"/>
          <w:bCs w:val="0"/>
          <w:szCs w:val="28"/>
        </w:rPr>
        <w:t>1</w:t>
      </w:r>
      <w:r>
        <w:rPr>
          <w:rFonts w:hint="eastAsia" w:ascii="仿宋_GB2312"/>
          <w:b w:val="0"/>
          <w:bCs w:val="0"/>
          <w:szCs w:val="28"/>
          <w:lang w:val="en-US" w:eastAsia="zh-CN"/>
        </w:rPr>
        <w:t>.因疫情防控要求，项目推进工作延迟，计划2022年10月20日完成招投标工作，实际完成时间2023年1月13日，致使本项目未能按计划完成指标任务。</w:t>
      </w:r>
    </w:p>
    <w:p w14:paraId="7DCD394F">
      <w:pPr>
        <w:spacing w:line="360" w:lineRule="auto"/>
        <w:ind w:firstLine="560"/>
        <w:rPr>
          <w:rFonts w:hint="default" w:ascii="仿宋_GB2312" w:eastAsia="仿宋_GB2312"/>
          <w:b w:val="0"/>
          <w:bCs w:val="0"/>
          <w:szCs w:val="28"/>
          <w:lang w:val="en-US" w:eastAsia="zh-CN"/>
        </w:rPr>
      </w:pPr>
      <w:r>
        <w:rPr>
          <w:rFonts w:hint="eastAsia" w:ascii="仿宋_GB2312"/>
          <w:b w:val="0"/>
          <w:bCs w:val="0"/>
          <w:szCs w:val="28"/>
          <w:lang w:val="en-US" w:eastAsia="zh-CN"/>
        </w:rPr>
        <w:t>2.特殊情况处理能力不足，导致本项目未按期完成计划工作，需加强前期调研工作，确保项目实施过程中出现类似情况，具有良好应对保障能力。</w:t>
      </w:r>
    </w:p>
    <w:p w14:paraId="538BDD33">
      <w:pPr>
        <w:spacing w:line="360" w:lineRule="auto"/>
        <w:ind w:firstLine="0" w:firstLineChars="0"/>
        <w:outlineLvl w:val="0"/>
        <w:rPr>
          <w:rFonts w:ascii="仿宋_GB2312"/>
          <w:b/>
          <w:bCs/>
          <w:sz w:val="32"/>
          <w:szCs w:val="32"/>
        </w:rPr>
      </w:pPr>
      <w:bookmarkStart w:id="41" w:name="_Toc26872"/>
      <w:bookmarkStart w:id="42" w:name="_Toc67911619"/>
      <w:r>
        <w:rPr>
          <w:rFonts w:hint="eastAsia" w:ascii="仿宋_GB2312"/>
          <w:b/>
          <w:bCs/>
          <w:sz w:val="32"/>
          <w:szCs w:val="32"/>
        </w:rPr>
        <w:t>七、有关建议其他需要说明的问题</w:t>
      </w:r>
      <w:bookmarkEnd w:id="41"/>
      <w:bookmarkEnd w:id="42"/>
    </w:p>
    <w:p w14:paraId="3A15A552">
      <w:pPr>
        <w:spacing w:line="360" w:lineRule="auto"/>
        <w:ind w:firstLine="560"/>
        <w:rPr>
          <w:rFonts w:hint="eastAsia" w:ascii="仿宋_GB2312"/>
          <w:b w:val="0"/>
          <w:bCs w:val="0"/>
          <w:szCs w:val="28"/>
          <w:lang w:val="en-US" w:eastAsia="zh-CN"/>
        </w:rPr>
      </w:pPr>
      <w:r>
        <w:rPr>
          <w:rFonts w:hint="eastAsia" w:ascii="仿宋_GB2312"/>
          <w:szCs w:val="28"/>
        </w:rPr>
        <w:t>1</w:t>
      </w:r>
      <w:r>
        <w:rPr>
          <w:rFonts w:ascii="仿宋_GB2312"/>
          <w:szCs w:val="28"/>
        </w:rPr>
        <w:t>.</w:t>
      </w:r>
      <w:r>
        <w:rPr>
          <w:rFonts w:hint="eastAsia" w:ascii="仿宋_GB2312"/>
          <w:b w:val="0"/>
          <w:bCs w:val="0"/>
          <w:szCs w:val="28"/>
          <w:lang w:val="en-US" w:eastAsia="zh-CN"/>
        </w:rPr>
        <w:t>加强专项债券发行前期管理。为适应加快发行、提前下达额度的专项债券发行模式，各级地方政府及相关单位要提前谋划，尽早做好项目发行的准备，提高专项债券项目储备数量和质量。</w:t>
      </w:r>
    </w:p>
    <w:p w14:paraId="46E1A790">
      <w:pPr>
        <w:spacing w:line="360" w:lineRule="auto"/>
        <w:ind w:firstLine="560"/>
        <w:rPr>
          <w:rFonts w:hint="eastAsia" w:ascii="仿宋_GB2312"/>
          <w:b w:val="0"/>
          <w:bCs w:val="0"/>
          <w:szCs w:val="28"/>
          <w:lang w:val="en-US" w:eastAsia="zh-CN"/>
        </w:rPr>
      </w:pPr>
      <w:r>
        <w:rPr>
          <w:rFonts w:ascii="仿宋_GB2312"/>
          <w:szCs w:val="28"/>
        </w:rPr>
        <w:t>2.</w:t>
      </w:r>
      <w:r>
        <w:rPr>
          <w:rFonts w:hint="eastAsia" w:ascii="仿宋_GB2312"/>
          <w:b w:val="0"/>
          <w:bCs w:val="0"/>
          <w:szCs w:val="28"/>
          <w:lang w:val="en-US" w:eastAsia="zh-CN"/>
        </w:rPr>
        <w:t>强化专项债券绩效监管。各部门和项目单位要严格贯彻落实《地方政府专项债券项目资金绩效管理办法》，将绩效理念融入到专项债券“借、用、管、还”全过程以及项目全生命周期管理中。</w:t>
      </w:r>
    </w:p>
    <w:p w14:paraId="5C651FE0">
      <w:pPr>
        <w:spacing w:line="360" w:lineRule="auto"/>
        <w:ind w:firstLine="560"/>
        <w:rPr>
          <w:rFonts w:hint="eastAsia" w:ascii="仿宋_GB2312"/>
          <w:b w:val="0"/>
          <w:bCs w:val="0"/>
          <w:szCs w:val="28"/>
          <w:lang w:val="en-US" w:eastAsia="zh-CN"/>
        </w:rPr>
      </w:pPr>
      <w:r>
        <w:rPr>
          <w:rFonts w:ascii="仿宋_GB2312"/>
          <w:szCs w:val="28"/>
        </w:rPr>
        <w:t>3.</w:t>
      </w:r>
      <w:r>
        <w:rPr>
          <w:rFonts w:hint="eastAsia" w:ascii="仿宋_GB2312"/>
          <w:b w:val="0"/>
          <w:bCs w:val="0"/>
          <w:szCs w:val="28"/>
          <w:lang w:val="en-US" w:eastAsia="zh-CN"/>
        </w:rPr>
        <w:t>提升资金拨付和使用效率。一是畅通全链条资金拨付。财政、发改、主管部门应加强协调配合，设立债券发行前的协商洽谈制度，建立投资计划下达与发行成功的联动机制，缩短审核报批链条，简化资金拨付手续。</w:t>
      </w:r>
    </w:p>
    <w:p w14:paraId="06874244">
      <w:pPr>
        <w:spacing w:line="360" w:lineRule="auto"/>
        <w:ind w:firstLine="560"/>
        <w:rPr>
          <w:rFonts w:hint="eastAsia" w:ascii="仿宋_GB2312"/>
          <w:b w:val="0"/>
          <w:bCs w:val="0"/>
          <w:szCs w:val="28"/>
          <w:lang w:val="en-US" w:eastAsia="zh-CN"/>
        </w:rPr>
      </w:pPr>
      <w:r>
        <w:rPr>
          <w:rFonts w:ascii="仿宋_GB2312"/>
          <w:szCs w:val="28"/>
        </w:rPr>
        <w:t>4.</w:t>
      </w:r>
      <w:r>
        <w:rPr>
          <w:rFonts w:hint="eastAsia" w:ascii="仿宋_GB2312"/>
          <w:b w:val="0"/>
          <w:bCs w:val="0"/>
          <w:szCs w:val="28"/>
          <w:lang w:val="en-US" w:eastAsia="zh-CN"/>
        </w:rPr>
        <w:t>完善“日常化”“全面化”“穿透式”监管。让专项债券切实发挥稳投资、稳增长的作用，离不开监管的保驾护航。</w:t>
      </w:r>
    </w:p>
    <w:p w14:paraId="47449776">
      <w:pPr>
        <w:spacing w:line="360" w:lineRule="auto"/>
        <w:ind w:firstLine="0" w:firstLineChars="0"/>
        <w:outlineLvl w:val="0"/>
        <w:rPr>
          <w:rFonts w:ascii="仿宋_GB2312"/>
          <w:szCs w:val="28"/>
        </w:rPr>
      </w:pPr>
      <w:bookmarkStart w:id="43" w:name="_Toc67911620"/>
      <w:bookmarkStart w:id="44" w:name="_Toc4317"/>
      <w:r>
        <w:rPr>
          <w:rFonts w:hint="eastAsia" w:ascii="仿宋_GB2312"/>
          <w:b/>
          <w:bCs/>
          <w:sz w:val="32"/>
          <w:szCs w:val="32"/>
        </w:rPr>
        <w:t>八、</w:t>
      </w:r>
      <w:bookmarkEnd w:id="43"/>
      <w:bookmarkEnd w:id="44"/>
      <w:r>
        <w:rPr>
          <w:rFonts w:hint="eastAsia" w:ascii="仿宋_GB2312"/>
          <w:b/>
          <w:bCs/>
          <w:sz w:val="32"/>
          <w:szCs w:val="32"/>
        </w:rPr>
        <w:t>其他需要说明的问题</w:t>
      </w:r>
    </w:p>
    <w:p w14:paraId="20EF781A">
      <w:pPr>
        <w:ind w:firstLine="600" w:firstLineChars="200"/>
        <w:rPr>
          <w:rFonts w:hint="default"/>
          <w:lang w:val="en-US" w:eastAsia="zh-CN"/>
        </w:rPr>
      </w:pPr>
      <w:r>
        <w:rPr>
          <w:rFonts w:hint="eastAsia"/>
          <w:lang w:val="en-US" w:eastAsia="zh-CN"/>
        </w:rPr>
        <w:t>无。</w:t>
      </w:r>
    </w:p>
    <w:sectPr>
      <w:footerReference r:id="rId10" w:type="default"/>
      <w:footerReference r:id="rId11" w:type="even"/>
      <w:pgSz w:w="11906" w:h="16838"/>
      <w:pgMar w:top="1440" w:right="1800" w:bottom="1440" w:left="1800" w:header="851" w:footer="992" w:gutter="0"/>
      <w:pgNumType w:fmt="numberInDash" w:start="12"/>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modern"/>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宋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BC6150">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E04967">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288019">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96237461"/>
      <w:docPartObj>
        <w:docPartGallery w:val="autotext"/>
      </w:docPartObj>
    </w:sdtPr>
    <w:sdtEndPr>
      <w:rPr>
        <w:rFonts w:asciiTheme="minorEastAsia" w:hAnsiTheme="minorEastAsia" w:eastAsiaTheme="minorEastAsia"/>
        <w:sz w:val="28"/>
        <w:szCs w:val="28"/>
      </w:rPr>
    </w:sdtEndPr>
    <w:sdtContent>
      <w:p w14:paraId="0AEC8A5F">
        <w:pPr>
          <w:pStyle w:val="4"/>
          <w:jc w:val="right"/>
        </w:pPr>
        <w:r>
          <w:fldChar w:fldCharType="begin"/>
        </w:r>
        <w:r>
          <w:instrText xml:space="preserve">PAGE   \* MERGEFORMAT</w:instrText>
        </w:r>
        <w: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13 -</w:t>
        </w:r>
        <w:r>
          <w:fldChar w:fldCharType="end"/>
        </w:r>
      </w:p>
    </w:sdtContent>
  </w:sdt>
  <w:p w14:paraId="30CB469A">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05216529"/>
      <w:docPartObj>
        <w:docPartGallery w:val="autotext"/>
      </w:docPartObj>
    </w:sdtPr>
    <w:sdtEndPr>
      <w:rPr>
        <w:rFonts w:asciiTheme="minorEastAsia" w:hAnsiTheme="minorEastAsia" w:eastAsiaTheme="minorEastAsia"/>
        <w:sz w:val="28"/>
        <w:szCs w:val="28"/>
      </w:rPr>
    </w:sdtEndPr>
    <w:sdtContent>
      <w:p w14:paraId="30BFA764">
        <w:pPr>
          <w:pStyle w:val="4"/>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12 -</w:t>
        </w:r>
        <w:r>
          <w:rPr>
            <w:rFonts w:asciiTheme="minorEastAsia" w:hAnsiTheme="minorEastAsia" w:eastAsiaTheme="minorEastAsia"/>
            <w:sz w:val="28"/>
            <w:szCs w:val="28"/>
          </w:rPr>
          <w:fldChar w:fldCharType="end"/>
        </w:r>
      </w:p>
    </w:sdtContent>
  </w:sdt>
  <w:p w14:paraId="2AC556F9">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6AAE80">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26E49">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60EC3">
    <w:pPr>
      <w:pStyle w:val="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6721E1">
    <w:pPr>
      <w:ind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D6478C"/>
    <w:multiLevelType w:val="singleLevel"/>
    <w:tmpl w:val="2ED6478C"/>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1MWY0Nzg0NGZmMmZiYjE5ZGRiOGRjNWFhZjcyNjcifQ=="/>
  </w:docVars>
  <w:rsids>
    <w:rsidRoot w:val="00000000"/>
    <w:rsid w:val="00775EEE"/>
    <w:rsid w:val="00D577E6"/>
    <w:rsid w:val="036F4D79"/>
    <w:rsid w:val="04226965"/>
    <w:rsid w:val="051068BF"/>
    <w:rsid w:val="053A13B6"/>
    <w:rsid w:val="06C64923"/>
    <w:rsid w:val="07FD633F"/>
    <w:rsid w:val="08883839"/>
    <w:rsid w:val="08C709AC"/>
    <w:rsid w:val="09873DC5"/>
    <w:rsid w:val="0A8E1F88"/>
    <w:rsid w:val="0B84338B"/>
    <w:rsid w:val="0C2A3F33"/>
    <w:rsid w:val="0E0E6AF5"/>
    <w:rsid w:val="10D176AF"/>
    <w:rsid w:val="125C7A0C"/>
    <w:rsid w:val="12D41CD8"/>
    <w:rsid w:val="13A208EB"/>
    <w:rsid w:val="14822E22"/>
    <w:rsid w:val="14B051F1"/>
    <w:rsid w:val="168F1462"/>
    <w:rsid w:val="17604CAC"/>
    <w:rsid w:val="180F16E3"/>
    <w:rsid w:val="19643A95"/>
    <w:rsid w:val="19E4006B"/>
    <w:rsid w:val="19EE2BDB"/>
    <w:rsid w:val="1C7134B8"/>
    <w:rsid w:val="1E4500AA"/>
    <w:rsid w:val="1ED12CDA"/>
    <w:rsid w:val="20D5741D"/>
    <w:rsid w:val="210E605D"/>
    <w:rsid w:val="213443B3"/>
    <w:rsid w:val="24925E0F"/>
    <w:rsid w:val="24CC0ED1"/>
    <w:rsid w:val="24DD54EC"/>
    <w:rsid w:val="2551032A"/>
    <w:rsid w:val="26B83AD1"/>
    <w:rsid w:val="27366420"/>
    <w:rsid w:val="2B7D1EF0"/>
    <w:rsid w:val="2BBC70F1"/>
    <w:rsid w:val="2EE713B8"/>
    <w:rsid w:val="301B756B"/>
    <w:rsid w:val="31756ED7"/>
    <w:rsid w:val="353C1B7F"/>
    <w:rsid w:val="37460403"/>
    <w:rsid w:val="389E6399"/>
    <w:rsid w:val="3D68022E"/>
    <w:rsid w:val="3DC7281C"/>
    <w:rsid w:val="3EA6303D"/>
    <w:rsid w:val="3F827A5D"/>
    <w:rsid w:val="404E565D"/>
    <w:rsid w:val="41732BE8"/>
    <w:rsid w:val="425D1112"/>
    <w:rsid w:val="43B27D8E"/>
    <w:rsid w:val="44354F80"/>
    <w:rsid w:val="4436276D"/>
    <w:rsid w:val="454041B2"/>
    <w:rsid w:val="48621D6F"/>
    <w:rsid w:val="494F1D2C"/>
    <w:rsid w:val="498126DD"/>
    <w:rsid w:val="4A1277D9"/>
    <w:rsid w:val="4A4A4DCF"/>
    <w:rsid w:val="4BE34F89"/>
    <w:rsid w:val="4E3E562F"/>
    <w:rsid w:val="4E8A7E8A"/>
    <w:rsid w:val="4F5D547D"/>
    <w:rsid w:val="514630EE"/>
    <w:rsid w:val="53152212"/>
    <w:rsid w:val="54C43314"/>
    <w:rsid w:val="56464A92"/>
    <w:rsid w:val="57544468"/>
    <w:rsid w:val="587A5C90"/>
    <w:rsid w:val="592F5CB1"/>
    <w:rsid w:val="5A874E04"/>
    <w:rsid w:val="5AC304AA"/>
    <w:rsid w:val="5C4001D5"/>
    <w:rsid w:val="5E244E0E"/>
    <w:rsid w:val="5FD30920"/>
    <w:rsid w:val="629E2085"/>
    <w:rsid w:val="655D7702"/>
    <w:rsid w:val="675B32B6"/>
    <w:rsid w:val="678505E7"/>
    <w:rsid w:val="67F06C02"/>
    <w:rsid w:val="68AD09A1"/>
    <w:rsid w:val="6B5039CA"/>
    <w:rsid w:val="6B68603E"/>
    <w:rsid w:val="6C0C59DE"/>
    <w:rsid w:val="6D440FA4"/>
    <w:rsid w:val="6D4C6A4F"/>
    <w:rsid w:val="70AB78DF"/>
    <w:rsid w:val="70C20263"/>
    <w:rsid w:val="728621B0"/>
    <w:rsid w:val="746F1FCD"/>
    <w:rsid w:val="7488523D"/>
    <w:rsid w:val="766C3D46"/>
    <w:rsid w:val="783B45E7"/>
    <w:rsid w:val="7A397292"/>
    <w:rsid w:val="7AFB37ED"/>
    <w:rsid w:val="7BE73D72"/>
    <w:rsid w:val="7D284642"/>
    <w:rsid w:val="7D73596F"/>
    <w:rsid w:val="7FA700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unhideWhenUsed/>
    <w:qFormat/>
    <w:uiPriority w:val="99"/>
    <w:pPr>
      <w:jc w:val="left"/>
    </w:pPr>
    <w:rPr>
      <w:rFonts w:cs="Times New Roman"/>
      <w:kern w:val="0"/>
      <w:szCs w:val="20"/>
    </w:rPr>
  </w:style>
  <w:style w:type="paragraph" w:styleId="3">
    <w:name w:val="Body Text"/>
    <w:basedOn w:val="1"/>
    <w:qFormat/>
    <w:uiPriority w:val="0"/>
    <w:pPr>
      <w:widowControl/>
    </w:pPr>
    <w:rPr>
      <w:rFonts w:ascii="Times New Roman" w:hAnsi="Times New Roman" w:eastAsia="Times New Roman"/>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ind w:firstLine="0" w:firstLineChars="0"/>
      <w:jc w:val="center"/>
    </w:pPr>
    <w:rPr>
      <w:rFonts w:ascii="Times New Roman" w:hAnsi="Times New Roman" w:eastAsia="宋体" w:cs="Times New Roman"/>
      <w:kern w:val="0"/>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3"/>
    <w:qFormat/>
    <w:uiPriority w:val="0"/>
    <w:pPr>
      <w:spacing w:after="0"/>
      <w:ind w:firstLine="420" w:firstLineChars="100"/>
    </w:pPr>
    <w:rPr>
      <w:rFonts w:ascii="宋体" w:hAnsi="宋体" w:cs="宋体"/>
      <w:sz w:val="21"/>
      <w:lang w:val="zh-CN" w:bidi="zh-CN"/>
    </w:rPr>
  </w:style>
  <w:style w:type="character" w:styleId="10">
    <w:name w:val="Strong"/>
    <w:basedOn w:val="9"/>
    <w:qFormat/>
    <w:uiPriority w:val="0"/>
    <w:rPr>
      <w:b/>
      <w:bCs/>
    </w:rPr>
  </w:style>
  <w:style w:type="character" w:styleId="11">
    <w:name w:val="annotation reference"/>
    <w:unhideWhenUsed/>
    <w:qFormat/>
    <w:uiPriority w:val="99"/>
    <w:rPr>
      <w:sz w:val="21"/>
      <w:szCs w:val="21"/>
    </w:rPr>
  </w:style>
  <w:style w:type="paragraph" w:customStyle="1" w:styleId="12">
    <w:name w:val="WPSOffice手动目录 1"/>
    <w:qFormat/>
    <w:uiPriority w:val="0"/>
    <w:rPr>
      <w:rFonts w:ascii="等线" w:hAnsi="等线" w:eastAsia="等线" w:cs="Times New Roman"/>
      <w:lang w:val="en-US" w:eastAsia="zh-CN" w:bidi="ar-SA"/>
    </w:rPr>
  </w:style>
  <w:style w:type="paragraph" w:customStyle="1" w:styleId="13">
    <w:name w:val="WPSOffice手动目录 2"/>
    <w:qFormat/>
    <w:uiPriority w:val="0"/>
    <w:pPr>
      <w:ind w:leftChars="200"/>
    </w:pPr>
    <w:rPr>
      <w:rFonts w:ascii="等线" w:hAnsi="等线" w:eastAsia="等线" w:cs="Times New Roman"/>
      <w:lang w:val="en-US" w:eastAsia="zh-CN" w:bidi="ar-SA"/>
    </w:rPr>
  </w:style>
  <w:style w:type="character" w:customStyle="1" w:styleId="14">
    <w:name w:val="fontstyle01"/>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4724</Words>
  <Characters>4919</Characters>
  <Lines>0</Lines>
  <Paragraphs>0</Paragraphs>
  <TotalTime>40</TotalTime>
  <ScaleCrop>false</ScaleCrop>
  <LinksUpToDate>false</LinksUpToDate>
  <CharactersWithSpaces>4953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2021-02-23T11:37:00Z</dcterms:created>
  <dc:creator>Administrator</dc:creator>
  <cp:lastModifiedBy>南西.</cp:lastModifiedBy>
  <dcterms:modified xsi:type="dcterms:W3CDTF">2025-09-15T05:50:37Z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BEE46CAF9DB247CCA904EEF6A0F45E4B</vt:lpwstr>
  </property>
  <property fmtid="{D5CDD505-2E9C-101B-9397-08002B2CF9AE}" pid="4" name="KSOTemplateDocerSaveRecord">
    <vt:lpwstr>eyJoZGlkIjoiOWI0M2EyYTkxZjkxODQwMTg2ODNhNjZmYzEyYzNhNzEiLCJ1c2VySWQiOiI2NTU3Njk1MDkifQ==</vt:lpwstr>
  </property>
</Properties>
</file>