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新疆塔城地区额敏县阔什比克良种场社会保障（民政）服务中心2022年度部门决算公开说明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bookmarkStart w:id="54" w:name="_GoBack"/>
      <w:bookmarkEnd w:id="54"/>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（1）负责辖区人力资源的统计、开发、劳动技能培训、组织劳务派遣、劳务输出、就业和失业人员的管理等服务性工作;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（2）负责农村合作医疗保险、养老保险工作,及时收集群众对医疗机构的投诉和反映,负责上报相关信息和情况;</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（3）负责优待抚恤、救济救灾、社会福利、村队最低生活保障和社会救助等工作;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xml:space="preserve">　　（4）配合做好辖区群众涉及医疗保险、养老保险、社会民政事务、劳动就业等社会保障方面矛盾纠纷调处和化解工作;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（5）负责做好统计等相关工作，健全各类农村统计台账，搞好统计资料档案管理，严格执行资料保管制度。</w:t>
      </w:r>
      <w:r>
        <w:rPr>
          <w:rFonts w:hint="eastAsia" w:ascii="仿宋_GB2312" w:eastAsia="仿宋_GB2312"/>
          <w:sz w:val="32"/>
          <w:szCs w:val="32"/>
          <w:highlight w:val="none"/>
        </w:rPr>
        <w:br w:type="textWrapping"/>
      </w:r>
      <w:r>
        <w:rPr>
          <w:rFonts w:hint="eastAsia" w:ascii="仿宋_GB2312" w:eastAsia="仿宋_GB2312"/>
          <w:sz w:val="32"/>
          <w:szCs w:val="32"/>
          <w:highlight w:val="none"/>
        </w:rPr>
        <w:t>　　（6）负责管理发放好上级下拨的各项民政款物负责上级布置的其他各项民政事务的落实</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（7）完成场管委、政府和上级业务部门交办的其他工作。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新疆塔城地区额敏县阔什比克良种场社会保障（民政）服务中心2022年度，实有人数5人，其中：在职人员5人，离休人员0人，退休人员0人。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社会保障（民政）服务中心部门决算包括：新疆塔城地区额敏县阔什比克良种场社会保障（民政）服务中心决算。单位无下属预算单位，下设1个处室，分别是：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收入总计67.83万元</w:t>
      </w:r>
      <w:r>
        <w:rPr>
          <w:rFonts w:hint="eastAsia" w:ascii="仿宋_GB2312" w:eastAsia="仿宋_GB2312"/>
          <w:sz w:val="32"/>
          <w:szCs w:val="32"/>
          <w:highlight w:val="none"/>
          <w:lang w:eastAsia="zh-CN"/>
        </w:rPr>
        <w:t>，其中：本年收入合计67.83万元，使用非财政拨款结余0.00万元，年初结转和结余0.00万元。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增加21.41万元，增长46.12%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本年支出总计67.83万元</w:t>
      </w:r>
      <w:r>
        <w:rPr>
          <w:rFonts w:hint="eastAsia" w:ascii="仿宋_GB2312" w:eastAsia="仿宋_GB2312"/>
          <w:sz w:val="32"/>
          <w:szCs w:val="32"/>
          <w:highlight w:val="none"/>
          <w:lang w:eastAsia="zh-CN"/>
        </w:rPr>
        <w:t>，其中：本年支出合计67.83万元，结余分配0.00万元，年末结转和结余0.00万元。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，增加21.41万元，增长46.12%，主要原因是</w:t>
      </w:r>
      <w:r>
        <w:rPr>
          <w:rFonts w:hint="eastAsia" w:ascii="仿宋_GB2312" w:eastAsia="仿宋_GB2312"/>
          <w:sz w:val="32"/>
          <w:szCs w:val="32"/>
          <w:highlight w:val="none"/>
        </w:rPr>
        <w:t>：本年度人员工资正常晋升，本年支出增加。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本年收入67.83万元，其中：财政拨款收入67.83万元，占100.00%；上级补助收入0.00万元，占0.00%；事业收入0.00万元，占0.00%；经营收入0.00万元，占0.00%；附属单位上缴收入0.00万元，占0.00%；其他收入0.00万元，占0.00%。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本年支出67.83万元，其中：基本支出65.73万元，占96.90%；项目支出2.10万元，占3.10%；上缴上级支出0.00万元，占0.00%；经营支出0.00万元，占0.00%；对附属单位补助支出0.00万元，占0.00%。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财政拨款收入总计67.83万元，其中：年初财政拨款结转和结余0.00万元，财政拨款本年收入67.83万元。财政拨款收入总计与上年相比，增加21.41万元，增长46.12%，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本年度人员工资正常晋升，本年财政拨款收入增加。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财政拨款支出总计67.83万元，其中：年末财政拨款结转和结余0.00万元，财政拨款本年支出67.83万元。财政拨款支出总计与上年相比，增加21.41万元，增长46.12%，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本年度人员工资正常晋升，本年财政拨款支出增加。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与年初预算数相比情况：财政拨款收入总计年初预算数58.74万元，决算数67.83万元，预决算差异率15.47%，</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从而产生预决算差异。财政拨款支出总计年初预算数58.74万元，决算数67.83万元，预决算差异率15.47%，</w:t>
      </w:r>
      <w:r>
        <w:rPr>
          <w:rFonts w:hint="eastAsia" w:ascii="仿宋_GB2312" w:eastAsia="仿宋_GB2312"/>
          <w:sz w:val="32"/>
          <w:szCs w:val="32"/>
          <w:highlight w:val="none"/>
          <w:lang w:eastAsia="zh-CN"/>
        </w:rPr>
        <w:t>主要原因是：人员工资正常晋升，支出增加，从而产生预决算差异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一般公共预算财政拨款支出67.83万元，占本年支出合计的100.00%，与上年相比，增加21.41万元，增长46.12%，主要原因是：本年度人工工资晋升，一般公共预算财政拨款增加。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1.社会保障和就业支出（类）58.12万元，占85.69%。</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2.卫生健康支出（类）4.85万元，占7.15%。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3.住房保障支出（类）4.86万元，占7.16%。</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1.社会保障和就业支出（类）人力资源和社会保障管理事务（款）事业运行（项）：支出决算数为52.79万元，比上年决算增加17.55万元，增长49.80%，主要原因是：本年度人员工资晋升，人员类支出增加。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机关事业单位基本养老保险缴费支出（项）：支出决算数为5.33万元，比上年决算增加0.47万元，增长9.67%，主要原因是：本年度人员工资普调，基本养老保险缴费基数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3.卫生健康支出（类）公共卫生（款）突发公共卫生事件应急处理（项）：支出决算数为2.10万元，比上年决算增加2.10万元，增长100%，主要原因是：我单位本年度产生了突发公共卫生事件支出。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4.卫生健康支出（类）行政事业单位医疗（款）事业单位医疗（项）：支出决算数为2.75万元，比上年决算减少0.04万元，下降1.43%，主要原因是：事业单位医疗基数调整，事业单位医疗缴费下降。</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5.住房保障支出（类）住房改革支出（款）住房公积金（项）：支出决算数为4.86万元，比上年决算增加1.33万元，增长37.68%，主要原因是：人员工资正常晋升，住房公积金缴费基数增加。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2022年度一般公共预算财政拨款基本支出65.73万元，其中：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人员经费63.73万元，包括：基本工资、津贴补贴、奖金、绩效工资、机关事业单位基本养老保险缴费、职工基本医疗保险缴费、其他社会保障缴费、住房公积金。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公用经费2.00万元，包括：邮电费。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2022年度新疆塔城地区额敏县阔什比克良种场社会保障（民政）服务中心（事业单位）公用经费2.00万元，比上年增加2.00万元，增长100%，主要原因是：本年度事业单位机构改革，单位合并，公用经费支出增加。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2022年度政府采购支出总额4.10万元，其中：政府采购货物支出4.10万元、政府采购工程支出0.00万元、政府采购服务支出0.00万元。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4.10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4.10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1个，全年预算数2.10万元，全年执行数2.1万元。预算绩效管理取得的成效：一是有效的保障全场的疫情防疫工作中防护物资、应急消毒、办公用品，疫情防控健康检测点人员餐费、生活物资等支出需要，杜绝出现因资金保障不到位，而影响疫情防控和医疗救治工作的正常开展；二是达成保障疫情期间工作人员使用物资和提高疫情期间工作人员工作质量让群众满意效果。发现的问题及原因：一是预算编制前根据年度内单位可预见的工作任务，确定了单位年度预算目标，细化了预算指标，但是在实际支付过程中，个别时候未严格按照预算指标执行。单位财务人员缺乏对预算管理的认识，现有的认知无法很好的完成此项工作；二是专项资金管理制度不够健全，对专项资金的管理、使用和监督等方面目前没有具体的规定和办法。下一步改进措施：一是加强项目的管理，主要从组织理顺、制度保障、人员培养、监督检查等几方面着手。成立相应的领导机构，作为项目实施的牵头组织；制度基本的项目管理制度，以确保针对项目实施的过程中管理环节有章可循；二是加强项目的管理，主要从组织理顺、制度保障、人员培养、监督检查等几方面着手。成立相应的领导机构，作为项目实施的牵头组织；制度基本的项目管理制度，以确保针对项目实施的过程中管理环节有章可循。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ulTrailSpace/>
    <w:doNotExpandShiftReturn/>
    <w:adjustLineHeightInTable/>
    <w:useFELayout/>
    <w:useAltKinsokuLineBreakRules/>
    <w:splitPgBreakAndParaMark/>
    <w:compatSetting w:name="compatibilityMode" w:uri="http://schemas.microsoft.com/office/word" w:val="11"/>
  </w:compat>
  <w:docVars>
    <w:docVar w:name="commondata" w:val="eyJoZGlkIjoiNGQ4ODYzYjM1NzhmNTA3Nzg5MWI5NjhjNGQxMGY4YTcifQ=="/>
  </w:docVars>
  <w:rsids>
    <w:rsidRoot w:val="00000000"/>
    <w:rsid w:val="155B602E"/>
    <w:rsid w:val="31A57E86"/>
    <w:rsid w:val="4C6A0D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sz w:val="20"/>
      <w:szCs w:val="20"/>
    </w:rPr>
  </w:style>
  <w:style w:type="paragraph" w:customStyle="1" w:styleId="11">
    <w:name w:val="WPSOffice手动目录 2"/>
    <w:uiPriority w:val="0"/>
    <w:pPr>
      <w:ind w:left="200" w:leftChars="200"/>
    </w:pPr>
    <w:rPr>
      <w:rFonts w:ascii="Times New Roman" w:hAnsi="Times New Roman" w:eastAsia="宋体" w:cs="Times New Roman"/>
      <w:sz w:val="20"/>
      <w:szCs w:val="20"/>
    </w:rPr>
  </w:style>
  <w:style w:type="paragraph" w:customStyle="1" w:styleId="12">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Office_11.1.0.11115_F1E327BC-269C-435d-A152-05C5408002CA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2023-02-10T03:50:31Z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07150EA291714014A20C1D318A731964_13</vt:lpwstr>
  </property>
</Properties>
</file>