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djustRightInd/>
        <w:snapToGrid/>
        <w:spacing w:line="240" w:lineRule="auto"/>
        <w:jc w:val="both"/>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r>
        <w:rPr>
          <w:rFonts w:hint="eastAsia" w:ascii="方正小标宋_GBK" w:hAnsi="方正小标宋_GBK" w:eastAsia="方正小标宋_GBK"/>
          <w:sz w:val="44"/>
          <w:szCs w:val="44"/>
          <w:highlight w:val="none"/>
        </w:rPr>
        <w:t>新疆塔城地区额敏县阔什比克良种场人口信息服务站2022年度部门决算公开说明</w:t>
      </w:r>
    </w:p>
    <w:p>
      <w:pPr>
        <w:keepNext w:val="0"/>
        <w:keepLines w:val="0"/>
        <w:pageBreakBefore w:val="0"/>
        <w:widowControl w:val="0"/>
        <w:kinsoku/>
        <w:wordWrap/>
        <w:overflowPunct/>
        <w:topLinePunct w:val="0"/>
        <w:autoSpaceDE/>
        <w:autoSpaceDN/>
        <w:adjustRightInd/>
        <w:snapToGrid/>
        <w:spacing w:line="240" w:lineRule="auto"/>
        <w:ind w:left="0" w:leftChars="0"/>
        <w:jc w:val="center"/>
        <w:textAlignment w:val="auto"/>
        <w:rPr>
          <w:rFonts w:hint="eastAsia" w:ascii="仿宋_GB2312" w:hAnsi="仿宋_GB2312" w:eastAsia="仿宋_GB2312" w:cs="仿宋_GB2312"/>
          <w:b w:val="0"/>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_Toc32314</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第一部分 单位概况</w:t>
      </w:r>
      <w:r>
        <w:rPr>
          <w:rFonts w:hint="eastAsia" w:ascii="仿宋_GB2312" w:hAnsi="仿宋_GB2312" w:eastAsia="仿宋_GB2312" w:cs="仿宋_GB2312"/>
          <w:b/>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二、机构设置</w:t>
      </w:r>
      <w:r>
        <w:rPr>
          <w:rFonts w:hint="eastAsia" w:ascii="仿宋_GB2312" w:hAnsi="仿宋_GB2312" w:eastAsia="仿宋_GB2312" w:cs="仿宋_GB2312"/>
          <w:kern w:val="0"/>
          <w:sz w:val="32"/>
          <w:szCs w:val="32"/>
          <w:highlight w:val="none"/>
          <w:lang w:eastAsia="zh-CN"/>
        </w:rPr>
        <w:t>及人员</w:t>
      </w:r>
      <w:r>
        <w:rPr>
          <w:rFonts w:hint="eastAsia" w:ascii="仿宋_GB2312" w:hAnsi="仿宋_GB2312" w:eastAsia="仿宋_GB2312" w:cs="仿宋_GB2312"/>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_Toc29374</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第二部分 部门决算情况说明</w:t>
      </w:r>
      <w:r>
        <w:rPr>
          <w:rFonts w:hint="eastAsia" w:ascii="仿宋_GB2312" w:hAnsi="仿宋_GB2312" w:eastAsia="仿宋_GB2312" w:cs="仿宋_GB2312"/>
          <w:b/>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二、</w:t>
      </w:r>
      <w:r>
        <w:rPr>
          <w:rFonts w:hint="eastAsia" w:ascii="仿宋_GB2312" w:hAnsi="仿宋_GB2312" w:eastAsia="仿宋_GB2312" w:cs="仿宋_GB2312"/>
          <w:kern w:val="0"/>
          <w:sz w:val="32"/>
          <w:szCs w:val="32"/>
          <w:highlight w:val="none"/>
        </w:rPr>
        <w:t>收入</w:t>
      </w:r>
      <w:r>
        <w:rPr>
          <w:rFonts w:hint="eastAsia" w:ascii="仿宋_GB2312" w:hAnsi="仿宋_GB2312" w:eastAsia="仿宋_GB2312" w:cs="仿宋_GB2312"/>
          <w:kern w:val="0"/>
          <w:sz w:val="32"/>
          <w:szCs w:val="32"/>
          <w:highlight w:val="none"/>
          <w:lang w:eastAsia="zh-CN"/>
        </w:rPr>
        <w:t>决算</w:t>
      </w:r>
      <w:r>
        <w:rPr>
          <w:rFonts w:hint="eastAsia" w:ascii="仿宋_GB2312" w:hAnsi="仿宋_GB2312" w:eastAsia="仿宋_GB2312" w:cs="仿宋_GB2312"/>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七</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kern w:val="0"/>
          <w:sz w:val="32"/>
          <w:szCs w:val="32"/>
          <w:highlight w:val="none"/>
          <w:lang w:eastAsia="zh-CN"/>
        </w:rPr>
        <w:t>财政拨款</w:t>
      </w:r>
      <w:r>
        <w:rPr>
          <w:rFonts w:hint="eastAsia" w:ascii="仿宋_GB2312" w:hAnsi="仿宋_GB2312" w:eastAsia="仿宋_GB2312" w:cs="仿宋_GB2312"/>
          <w:kern w:val="0"/>
          <w:sz w:val="32"/>
          <w:szCs w:val="32"/>
          <w:highlight w:val="none"/>
        </w:rPr>
        <w:t>“三公”经费支出</w:t>
      </w:r>
      <w:r>
        <w:rPr>
          <w:rFonts w:hint="eastAsia" w:ascii="仿宋_GB2312" w:hAnsi="仿宋_GB2312" w:eastAsia="仿宋_GB2312" w:cs="仿宋_GB2312"/>
          <w:kern w:val="0"/>
          <w:sz w:val="32"/>
          <w:szCs w:val="32"/>
          <w:highlight w:val="none"/>
          <w:lang w:eastAsia="zh-CN"/>
        </w:rPr>
        <w:t>决算</w:t>
      </w:r>
      <w:r>
        <w:rPr>
          <w:rFonts w:hint="eastAsia" w:ascii="仿宋_GB2312" w:hAnsi="仿宋_GB2312" w:eastAsia="仿宋_GB2312" w:cs="仿宋_GB2312"/>
          <w:kern w:val="0"/>
          <w:sz w:val="32"/>
          <w:szCs w:val="32"/>
          <w:highlight w:val="none"/>
        </w:rPr>
        <w:t>情况</w:t>
      </w:r>
      <w:r>
        <w:rPr>
          <w:rFonts w:hint="eastAsia" w:ascii="仿宋_GB2312" w:hAnsi="仿宋_GB2312" w:eastAsia="仿宋_GB2312" w:cs="仿宋_GB2312"/>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十</w:t>
      </w:r>
      <w:r>
        <w:rPr>
          <w:rFonts w:hint="eastAsia" w:ascii="仿宋_GB2312" w:hAnsi="仿宋_GB2312" w:eastAsia="仿宋_GB2312" w:cs="仿宋_GB2312"/>
          <w:kern w:val="0"/>
          <w:sz w:val="32"/>
          <w:szCs w:val="32"/>
          <w:highlight w:val="none"/>
        </w:rPr>
        <w:t>、其他重要事项的情况</w:t>
      </w:r>
      <w:r>
        <w:rPr>
          <w:rFonts w:hint="eastAsia" w:ascii="仿宋_GB2312" w:hAnsi="仿宋_GB2312" w:eastAsia="仿宋_GB2312" w:cs="仿宋_GB2312"/>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_Toc3250</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第三部分 专业名词解释</w:t>
      </w:r>
      <w:r>
        <w:rPr>
          <w:rFonts w:hint="eastAsia" w:ascii="仿宋_GB2312" w:hAnsi="仿宋_GB2312" w:eastAsia="仿宋_GB2312" w:cs="仿宋_GB2312"/>
          <w:b/>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_Toc22784</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第四部分 部门决算报表（见附表）</w:t>
      </w:r>
      <w:r>
        <w:rPr>
          <w:rFonts w:hint="eastAsia" w:ascii="仿宋_GB2312" w:hAnsi="仿宋_GB2312" w:eastAsia="仿宋_GB2312" w:cs="仿宋_GB2312"/>
          <w:b/>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七、《财政拨款“三公”经费支出决算表》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_Toc7643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八、《政府性基金预算财政拨款收入支出决算表》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_Toc7643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九、《国有资本经营预算财政拨款收入支出决算表》</w:t>
      </w: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adjustRightInd/>
        <w:snapToGrid/>
        <w:ind w:left="0" w:leftChars="0"/>
        <w:jc w:val="both"/>
        <w:textAlignment w:val="auto"/>
        <w:rPr>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r>
        <w:rPr>
          <w:rFonts w:hint="eastAsia" w:ascii="仿宋_GB2312" w:eastAsia="仿宋_GB2312"/>
          <w:sz w:val="32"/>
          <w:szCs w:val="32"/>
          <w:highlight w:val="none"/>
        </w:rPr>
        <w:br w:type="page"/>
      </w:r>
      <w:bookmarkStart w:id="0" w:name="_Toc24028"/>
      <w:bookmarkStart w:id="1" w:name="_Toc32314"/>
      <w:r>
        <w:rPr>
          <w:rFonts w:hint="eastAsia" w:ascii="黑体" w:hAnsi="黑体" w:eastAsia="黑体"/>
          <w:sz w:val="32"/>
          <w:szCs w:val="32"/>
          <w:highlight w:val="none"/>
        </w:rPr>
        <w:t>第一部分 单位概况</w:t>
      </w:r>
      <w:bookmarkEnd w:id="0"/>
      <w:bookmarkEnd w:id="1"/>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default" w:ascii="黑体" w:hAnsi="黑体" w:eastAsia="黑体" w:cs="宋体"/>
          <w:kern w:val="0"/>
          <w:sz w:val="32"/>
          <w:szCs w:val="32"/>
          <w:highlight w:val="none"/>
        </w:rPr>
      </w:pPr>
      <w:bookmarkStart w:id="2" w:name="_Toc30738"/>
      <w:bookmarkStart w:id="3" w:name="_Toc30567"/>
      <w:r>
        <w:rPr>
          <w:rFonts w:hint="eastAsia" w:ascii="黑体" w:hAnsi="黑体" w:eastAsia="黑体" w:cs="宋体"/>
          <w:kern w:val="0"/>
          <w:sz w:val="32"/>
          <w:szCs w:val="32"/>
          <w:highlight w:val="none"/>
        </w:rPr>
        <w:t>一、主要职能</w:t>
      </w:r>
      <w:bookmarkEnd w:id="2"/>
      <w:bookmarkEnd w:id="3"/>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（1）在党委、管委会领导下，执行、落实上级政府下达的人口与计划生育目标管理责任制。</w:t>
      </w:r>
      <w:r>
        <w:rPr>
          <w:rFonts w:hint="eastAsia" w:ascii="仿宋_GB2312" w:eastAsia="仿宋_GB2312"/>
          <w:sz w:val="32"/>
          <w:szCs w:val="32"/>
          <w:highlight w:val="none"/>
        </w:rPr>
        <w:br w:type="textWrapping"/>
      </w:r>
      <w:r>
        <w:rPr>
          <w:rFonts w:hint="eastAsia" w:ascii="仿宋_GB2312" w:eastAsia="仿宋_GB2312"/>
          <w:sz w:val="32"/>
          <w:szCs w:val="32"/>
          <w:highlight w:val="none"/>
        </w:rPr>
        <w:t>　　（2）做好计生统计业务台帐、定期收集、整理、归档计生工作的文书及图片资料，充分发挥育龄妇女信息管理系统(WIS)的作用，及时掌握计生动态信息，为党委、管委会当好参谋和助手。</w:t>
      </w:r>
      <w:r>
        <w:rPr>
          <w:rFonts w:hint="eastAsia" w:ascii="仿宋_GB2312" w:eastAsia="仿宋_GB2312"/>
          <w:sz w:val="32"/>
          <w:szCs w:val="32"/>
          <w:highlight w:val="none"/>
        </w:rPr>
        <w:br w:type="textWrapping"/>
      </w:r>
      <w:r>
        <w:rPr>
          <w:rFonts w:hint="eastAsia" w:ascii="仿宋_GB2312" w:eastAsia="仿宋_GB2312"/>
          <w:sz w:val="32"/>
          <w:szCs w:val="32"/>
          <w:highlight w:val="none"/>
        </w:rPr>
        <w:t>　　（3）指导场计生服务所为育龄群众提供优质的计划生育技术服务和生殖保健服务。</w:t>
      </w:r>
      <w:r>
        <w:rPr>
          <w:rFonts w:hint="eastAsia" w:ascii="仿宋_GB2312" w:eastAsia="仿宋_GB2312"/>
          <w:sz w:val="32"/>
          <w:szCs w:val="32"/>
          <w:highlight w:val="none"/>
        </w:rPr>
        <w:br w:type="textWrapping"/>
      </w:r>
      <w:r>
        <w:rPr>
          <w:rFonts w:hint="eastAsia" w:ascii="仿宋_GB2312" w:eastAsia="仿宋_GB2312"/>
          <w:sz w:val="32"/>
          <w:szCs w:val="32"/>
          <w:highlight w:val="none"/>
        </w:rPr>
        <w:t>　　（4）开展形式多样的人口与计划生育基础知识教育，不断提高育龄群众计生知识知晓率。</w:t>
      </w:r>
      <w:r>
        <w:rPr>
          <w:rFonts w:hint="eastAsia" w:ascii="仿宋_GB2312" w:eastAsia="仿宋_GB2312"/>
          <w:sz w:val="32"/>
          <w:szCs w:val="32"/>
          <w:highlight w:val="none"/>
        </w:rPr>
        <w:br w:type="textWrapping"/>
      </w:r>
      <w:r>
        <w:rPr>
          <w:rFonts w:hint="eastAsia" w:ascii="仿宋_GB2312" w:eastAsia="仿宋_GB2312"/>
          <w:sz w:val="32"/>
          <w:szCs w:val="32"/>
          <w:highlight w:val="none"/>
        </w:rPr>
        <w:t>　　（5）做好流动人口的计划生育管理与服务。</w:t>
      </w:r>
      <w:r>
        <w:rPr>
          <w:rFonts w:hint="eastAsia" w:ascii="仿宋_GB2312" w:eastAsia="仿宋_GB2312"/>
          <w:sz w:val="32"/>
          <w:szCs w:val="32"/>
          <w:highlight w:val="none"/>
        </w:rPr>
        <w:br w:type="textWrapping"/>
      </w:r>
      <w:r>
        <w:rPr>
          <w:rFonts w:hint="eastAsia" w:ascii="仿宋_GB2312" w:eastAsia="仿宋_GB2312"/>
          <w:sz w:val="32"/>
          <w:szCs w:val="32"/>
          <w:highlight w:val="none"/>
        </w:rPr>
        <w:t>　　（6）做好计划生育信访工作，为群众排忧解难，依法行政，维护广大育龄群众的合法权益。</w:t>
      </w:r>
      <w:r>
        <w:rPr>
          <w:rFonts w:hint="eastAsia" w:ascii="仿宋_GB2312" w:eastAsia="仿宋_GB2312"/>
          <w:sz w:val="32"/>
          <w:szCs w:val="32"/>
          <w:highlight w:val="none"/>
        </w:rPr>
        <w:br w:type="textWrapping"/>
      </w:r>
      <w:r>
        <w:rPr>
          <w:rFonts w:hint="eastAsia" w:ascii="仿宋_GB2312" w:eastAsia="仿宋_GB2312"/>
          <w:sz w:val="32"/>
          <w:szCs w:val="32"/>
          <w:highlight w:val="none"/>
        </w:rPr>
        <w:t>　　（7）指导、督促、检査村级做好人ロ与计划生育工作，加强对村级计生人员的业务培训，并完成场党委、管委会及上级主管部门交办的其他事项。</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 w:name="_Toc31238"/>
      <w:bookmarkStart w:id="5" w:name="_Toc2151"/>
      <w:r>
        <w:rPr>
          <w:rFonts w:hint="eastAsia" w:ascii="黑体" w:hAnsi="黑体" w:eastAsia="黑体" w:cs="宋体"/>
          <w:kern w:val="0"/>
          <w:sz w:val="32"/>
          <w:szCs w:val="32"/>
          <w:highlight w:val="none"/>
        </w:rPr>
        <w:t>二、机构设置</w:t>
      </w:r>
      <w:r>
        <w:rPr>
          <w:rFonts w:hint="eastAsia" w:ascii="黑体" w:hAnsi="黑体" w:eastAsia="黑体" w:cs="宋体"/>
          <w:kern w:val="0"/>
          <w:sz w:val="32"/>
          <w:szCs w:val="32"/>
          <w:highlight w:val="none"/>
          <w:lang w:eastAsia="zh-CN"/>
        </w:rPr>
        <w:t>及</w:t>
      </w:r>
      <w:bookmarkEnd w:id="4"/>
      <w:r>
        <w:rPr>
          <w:rFonts w:hint="eastAsia" w:ascii="黑体" w:hAnsi="黑体" w:eastAsia="黑体" w:cs="宋体"/>
          <w:kern w:val="0"/>
          <w:sz w:val="32"/>
          <w:szCs w:val="32"/>
          <w:highlight w:val="none"/>
          <w:lang w:eastAsia="zh-CN"/>
        </w:rPr>
        <w:t>人员</w:t>
      </w:r>
      <w:r>
        <w:rPr>
          <w:rFonts w:hint="eastAsia" w:ascii="黑体" w:hAnsi="黑体" w:eastAsia="黑体" w:cs="宋体"/>
          <w:kern w:val="0"/>
          <w:sz w:val="32"/>
          <w:szCs w:val="32"/>
          <w:highlight w:val="none"/>
        </w:rPr>
        <w:t>情况</w:t>
      </w:r>
      <w:bookmarkEnd w:id="5"/>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新疆塔城地区额敏县阔什比克良种场人口信息服务站2022年度，实有人数5人，其中：在职人员4人，离休人员0人，退休人员1人。</w:t>
      </w:r>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从部门决算单位构成看，新疆塔城地区额敏县阔什比克良种场人口信息服务站部门决算包括：新疆塔城地区额敏县阔什比克良种场人口信息服务站决算。单位无下属预算单位，下设1个处室，分别是：办公室。</w:t>
      </w:r>
    </w:p>
    <w:p>
      <w:pPr>
        <w:keepNext w:val="0"/>
        <w:keepLines w:val="0"/>
        <w:pageBreakBefore w:val="0"/>
        <w:widowControl w:val="0"/>
        <w:kinsoku/>
        <w:wordWrap/>
        <w:overflowPunct/>
        <w:topLinePunct w:val="0"/>
        <w:autoSpaceDE/>
        <w:autoSpaceDN/>
        <w:adjustRightInd/>
        <w:snapToGrid/>
        <w:spacing w:line="240" w:lineRule="auto"/>
        <w:ind w:firstLine="562" w:firstLineChars="200"/>
        <w:jc w:val="center"/>
        <w:textAlignment w:val="auto"/>
        <w:outlineLvl w:val="0"/>
        <w:rPr>
          <w:rFonts w:hint="eastAsia" w:ascii="黑体" w:hAnsi="黑体" w:eastAsia="黑体"/>
          <w:sz w:val="32"/>
          <w:szCs w:val="32"/>
          <w:highlight w:val="none"/>
        </w:rPr>
      </w:pPr>
      <w:bookmarkStart w:id="6" w:name="_Toc3092"/>
      <w:bookmarkStart w:id="7" w:name="_Toc29374"/>
      <w:r>
        <w:rPr>
          <w:rFonts w:hint="default" w:ascii="黑体"/>
          <w:b/>
          <w:kern w:val="44"/>
          <w:sz w:val="28"/>
        </w:rPr>
        <w:br w:type="page"/>
      </w:r>
      <w:r>
        <w:rPr>
          <w:rFonts w:hint="default" w:ascii="黑体"/>
          <w:b/>
          <w:spacing w:val="40"/>
          <w:sz w:val="28"/>
        </w:rPr>
        <w:t xml:space="preserve"> </w:t>
      </w:r>
      <w:r>
        <w:rPr>
          <w:rFonts w:hint="eastAsia" w:ascii="黑体" w:hAnsi="黑体" w:eastAsia="黑体"/>
          <w:sz w:val="32"/>
          <w:szCs w:val="32"/>
          <w:highlight w:val="none"/>
        </w:rPr>
        <w:t>第二部分 部门决算情况说明</w:t>
      </w:r>
      <w:bookmarkEnd w:id="6"/>
      <w:bookmarkEnd w:id="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8" w:name="_Toc25314"/>
      <w:bookmarkStart w:id="9" w:name="_Toc12566"/>
      <w:r>
        <w:rPr>
          <w:rFonts w:hint="eastAsia" w:ascii="黑体" w:hAnsi="黑体" w:eastAsia="黑体" w:cs="宋体"/>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收入总计48.41万元</w:t>
      </w:r>
      <w:r>
        <w:rPr>
          <w:rFonts w:hint="eastAsia" w:ascii="仿宋_GB2312" w:eastAsia="仿宋_GB2312"/>
          <w:sz w:val="32"/>
          <w:szCs w:val="32"/>
          <w:highlight w:val="none"/>
          <w:lang w:eastAsia="zh-CN"/>
        </w:rPr>
        <w:t>，其中：本年收入合计48.41万元，使用非财政拨款结余0.00万元，年初结转和结余0.00万元。</w:t>
      </w:r>
      <w:r>
        <w:rPr>
          <w:rFonts w:hint="eastAsia" w:ascii="仿宋_GB2312" w:eastAsia="仿宋_GB2312"/>
          <w:sz w:val="32"/>
          <w:szCs w:val="32"/>
          <w:highlight w:val="none"/>
        </w:rPr>
        <w:t>收入总计与上年相比</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增加18.71万元，增长63.00%</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：本年度人员工资正常晋升，本年收入增加。</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本年支出总计48.41万元</w:t>
      </w:r>
      <w:r>
        <w:rPr>
          <w:rFonts w:hint="eastAsia" w:ascii="仿宋_GB2312" w:eastAsia="仿宋_GB2312"/>
          <w:sz w:val="32"/>
          <w:szCs w:val="32"/>
          <w:highlight w:val="none"/>
          <w:lang w:eastAsia="zh-CN"/>
        </w:rPr>
        <w:t>，其中：本年支出合计48.41万元，结余分配0.00万元，年末结转和结余0.00万元。</w:t>
      </w:r>
      <w:r>
        <w:rPr>
          <w:rFonts w:hint="eastAsia" w:ascii="仿宋_GB2312" w:eastAsia="仿宋_GB2312"/>
          <w:sz w:val="32"/>
          <w:szCs w:val="32"/>
          <w:highlight w:val="none"/>
        </w:rPr>
        <w:t>支出总计与上年相比</w:t>
      </w:r>
      <w:r>
        <w:rPr>
          <w:rFonts w:hint="eastAsia" w:ascii="仿宋_GB2312" w:eastAsia="仿宋_GB2312"/>
          <w:sz w:val="32"/>
          <w:szCs w:val="32"/>
          <w:highlight w:val="none"/>
          <w:lang w:eastAsia="zh-CN"/>
        </w:rPr>
        <w:t>，增加18.71万元，增长63.00%，主要原因是</w:t>
      </w:r>
      <w:r>
        <w:rPr>
          <w:rFonts w:hint="eastAsia" w:ascii="仿宋_GB2312" w:eastAsia="仿宋_GB2312"/>
          <w:sz w:val="32"/>
          <w:szCs w:val="32"/>
          <w:highlight w:val="none"/>
        </w:rPr>
        <w:t>：本年度人员工资正常晋升，本年支出增加。</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10" w:name="_Toc1979"/>
      <w:bookmarkStart w:id="11" w:name="_Toc12142"/>
      <w:r>
        <w:rPr>
          <w:rFonts w:hint="eastAsia" w:ascii="黑体" w:hAnsi="黑体" w:eastAsia="黑体" w:cs="宋体"/>
          <w:kern w:val="0"/>
          <w:sz w:val="32"/>
          <w:szCs w:val="32"/>
          <w:highlight w:val="none"/>
          <w:lang w:eastAsia="zh-CN"/>
        </w:rPr>
        <w:t>二、</w:t>
      </w:r>
      <w:r>
        <w:rPr>
          <w:rFonts w:hint="eastAsia" w:ascii="黑体" w:hAnsi="黑体" w:eastAsia="黑体" w:cs="宋体"/>
          <w:kern w:val="0"/>
          <w:sz w:val="32"/>
          <w:szCs w:val="32"/>
          <w:highlight w:val="none"/>
        </w:rPr>
        <w:t>收入</w:t>
      </w:r>
      <w:r>
        <w:rPr>
          <w:rFonts w:hint="eastAsia" w:ascii="黑体" w:hAnsi="黑体" w:eastAsia="黑体" w:cs="宋体"/>
          <w:kern w:val="0"/>
          <w:sz w:val="32"/>
          <w:szCs w:val="32"/>
          <w:highlight w:val="none"/>
          <w:lang w:eastAsia="zh-CN"/>
        </w:rPr>
        <w:t>决算</w:t>
      </w:r>
      <w:r>
        <w:rPr>
          <w:rFonts w:hint="eastAsia" w:ascii="黑体" w:hAnsi="黑体" w:eastAsia="黑体" w:cs="宋体"/>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本年收入48.41万元，其中：财政拨款收入48.41万元，占100.00%；上级补助收入0.00万元，占0.00%；事业收入0.00万元，占0.00%；经营收入0.00万元，占0.00%；附属单位上缴收入0.00万元，占0.00%；其他收入0.00万元，占0.00%。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2" w:name="_Toc27961"/>
      <w:bookmarkStart w:id="13" w:name="_Toc13201"/>
      <w:r>
        <w:rPr>
          <w:rFonts w:hint="eastAsia" w:ascii="黑体" w:hAnsi="黑体" w:eastAsia="黑体" w:cs="宋体"/>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本年支出48.41万元，其中：基本支出48.41万元，占100.00%；项目支出0.00万元，占0.00%；上缴上级支出0.00万元，占0.00%；经营支出0.00万元，占0.00%；对附属单位补助支出0.00万元，占0.00%。</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4" w:name="_Toc26564"/>
      <w:bookmarkStart w:id="15" w:name="_Toc4393"/>
      <w:r>
        <w:rPr>
          <w:rFonts w:hint="eastAsia" w:ascii="黑体" w:hAnsi="黑体" w:eastAsia="黑体" w:cs="宋体"/>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财政拨款收入总计48.41万元，其中：年初财政拨款结转和结余0.00万元，财政拨款本年收入48.41万元。财政拨款收入总计与上年相比，增加18.71万元，增长63.00%，</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本年度人员工资正常晋升，本年财政拨款收入增加。</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财政拨款支出总计48.41万元，其中：年末财政拨款结转和结余0.00万元，财政拨款本年支出48.41万元。财政拨款支出总计与上年相比，增加18.71万元，增长63.00%，</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本年度人员工资正常晋升，本年财政拨款支出增加。</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与年初预算数相比情况：财政拨款收入总计年初预算数36.72万元，决算数48.41万元，预决算差异率31.84%，</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人员工资正常晋升，</w:t>
      </w:r>
      <w:r>
        <w:rPr>
          <w:rFonts w:hint="eastAsia" w:ascii="仿宋_GB2312" w:eastAsia="仿宋_GB2312"/>
          <w:sz w:val="32"/>
          <w:szCs w:val="32"/>
          <w:highlight w:val="none"/>
          <w:lang w:eastAsia="zh-CN"/>
        </w:rPr>
        <w:t>收入增加，</w:t>
      </w:r>
      <w:r>
        <w:rPr>
          <w:rFonts w:hint="eastAsia" w:ascii="仿宋_GB2312" w:eastAsia="仿宋_GB2312"/>
          <w:sz w:val="32"/>
          <w:szCs w:val="32"/>
          <w:highlight w:val="none"/>
        </w:rPr>
        <w:t>从而产生预决算差异。财政拨款支出总计年初预算数36.72万元，决算数48.41万元，预决算差异率31.84%，</w:t>
      </w:r>
      <w:r>
        <w:rPr>
          <w:rFonts w:hint="eastAsia" w:ascii="仿宋_GB2312" w:eastAsia="仿宋_GB2312"/>
          <w:sz w:val="32"/>
          <w:szCs w:val="32"/>
          <w:highlight w:val="none"/>
          <w:lang w:eastAsia="zh-CN"/>
        </w:rPr>
        <w:t>主要原因是：人员工资正常晋升，支出增加，从而产生预决算差异。</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6" w:name="_Toc20360"/>
      <w:bookmarkStart w:id="17" w:name="_Toc13833"/>
      <w:r>
        <w:rPr>
          <w:rFonts w:hint="eastAsia" w:ascii="黑体" w:hAnsi="黑体" w:eastAsia="黑体" w:cs="宋体"/>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（一）一般公共预算财政拨款支出决算总体情况</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一般公共预算财政拨款支出48.41万元，占本年支出合计的100.00%，与上年相比，增加18.71万元，增长63.00%，主要原因是：本年度人工工资晋升，一般公共预算财政拨款增加。</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（二）一般公共预算财政拨款支出决算结构情况</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1.社会保障和就业支出（类）4.92万元，占10.16%。</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2.卫生健康支出（类）39.90万元，占82.42%。</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3.住房保障支出（类）3.59万元，占7.42%。</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（三）一般公共预算财政拨款支出决算具体情况</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1.社会保障和就业支出（类）行政事业单位养老支出（款）事业单位离退休（项）：支出决算数为0.80万元，比上年决算增加0.06万元，增长8.11%，主要原因是：本年度退休人员工资晋升，事业单位离退休增加。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社会保障和就业支出（类）行政事业单位养老支出（款）机关事业单位基本养老保险缴费支出（项）：支出决算数为4.12万元，比上年决算增加1.08万元，增长35.53%，主要原因是：本年度人员工资普调，基本养老保险缴费基数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3.卫生健康支出（类）计划生育事务（款）计划生育机构（项）：支出决算数为37.79万元，比上年决算增加15.78万元，增长71.69%，主要原因是：本年度人员工资晋升，人员类支出增加。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4.卫生健康支出（类）行政事业单位医疗（款）事业单位医疗（项）：支出决算数为2.11万元，比上年决算增加0.38万元，增长21.97%，主要原因是：事业单位医疗基数调整，事业单位医疗缴费增加。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5.住房保障支出（类）住房改革支出（款）住房公积金（项）：支出决算数为3.59万元，比上年决算增加1.4万元，增长63.93%，主要原因是：人员工资正常晋升，住房公积金缴费基数增加。</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8" w:name="_Toc30870"/>
      <w:bookmarkStart w:id="19" w:name="_Toc11146"/>
      <w:r>
        <w:rPr>
          <w:rFonts w:hint="eastAsia" w:ascii="黑体" w:hAnsi="黑体" w:eastAsia="黑体" w:cs="宋体"/>
          <w:kern w:val="0"/>
          <w:sz w:val="32"/>
          <w:szCs w:val="32"/>
          <w:highlight w:val="none"/>
          <w:lang w:eastAsia="zh-CN"/>
        </w:rPr>
        <w:t>六、一般公共预算财政拨款基本支出决算情况说明</w:t>
      </w:r>
      <w:bookmarkEnd w:id="18"/>
      <w:bookmarkEnd w:id="19"/>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2022年度一般公共预算财政拨款基本支出48.41万元，其中：</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人员经费48.41万元，包括：基本工资、津贴补贴、奖金、绩效工资、机关事业单位基本养老保险缴费、职工基本医疗保险缴费、其他社会保障缴费、住房公积金、退休费、奖励金。</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公用经费0.00万元。</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20" w:name="_Toc7190"/>
      <w:bookmarkStart w:id="21" w:name="_Toc21518"/>
      <w:r>
        <w:rPr>
          <w:rFonts w:hint="eastAsia" w:ascii="黑体" w:hAnsi="黑体" w:eastAsia="黑体" w:cs="宋体"/>
          <w:kern w:val="0"/>
          <w:sz w:val="32"/>
          <w:szCs w:val="32"/>
          <w:highlight w:val="none"/>
          <w:lang w:eastAsia="zh-CN"/>
        </w:rPr>
        <w:t>七</w:t>
      </w:r>
      <w:r>
        <w:rPr>
          <w:rFonts w:hint="eastAsia" w:ascii="黑体" w:hAnsi="黑体" w:eastAsia="黑体" w:cs="宋体"/>
          <w:kern w:val="0"/>
          <w:sz w:val="32"/>
          <w:szCs w:val="32"/>
          <w:highlight w:val="none"/>
        </w:rPr>
        <w:t>、</w:t>
      </w:r>
      <w:r>
        <w:rPr>
          <w:rFonts w:hint="eastAsia" w:ascii="黑体" w:hAnsi="黑体" w:eastAsia="黑体" w:cs="宋体"/>
          <w:kern w:val="0"/>
          <w:sz w:val="32"/>
          <w:szCs w:val="32"/>
          <w:highlight w:val="none"/>
          <w:lang w:eastAsia="zh-CN"/>
        </w:rPr>
        <w:t>财政拨款</w:t>
      </w:r>
      <w:r>
        <w:rPr>
          <w:rFonts w:hint="eastAsia" w:ascii="黑体" w:hAnsi="黑体" w:eastAsia="黑体" w:cs="宋体"/>
          <w:kern w:val="0"/>
          <w:sz w:val="32"/>
          <w:szCs w:val="32"/>
          <w:highlight w:val="none"/>
        </w:rPr>
        <w:t>“三公”经费支出</w:t>
      </w:r>
      <w:r>
        <w:rPr>
          <w:rFonts w:hint="eastAsia" w:ascii="黑体" w:hAnsi="黑体" w:eastAsia="黑体" w:cs="宋体"/>
          <w:kern w:val="0"/>
          <w:sz w:val="32"/>
          <w:szCs w:val="32"/>
          <w:highlight w:val="none"/>
          <w:lang w:eastAsia="zh-CN"/>
        </w:rPr>
        <w:t>决算</w:t>
      </w:r>
      <w:r>
        <w:rPr>
          <w:rFonts w:hint="eastAsia" w:ascii="黑体" w:hAnsi="黑体" w:eastAsia="黑体" w:cs="宋体"/>
          <w:kern w:val="0"/>
          <w:sz w:val="32"/>
          <w:szCs w:val="32"/>
          <w:highlight w:val="none"/>
        </w:rPr>
        <w:t>情况</w:t>
      </w:r>
      <w:r>
        <w:rPr>
          <w:rFonts w:hint="eastAsia" w:ascii="黑体" w:hAnsi="黑体" w:eastAsia="黑体" w:cs="宋体"/>
          <w:kern w:val="0"/>
          <w:sz w:val="32"/>
          <w:szCs w:val="32"/>
          <w:highlight w:val="none"/>
          <w:lang w:eastAsia="zh-CN"/>
        </w:rPr>
        <w:t>说明</w:t>
      </w:r>
      <w:bookmarkEnd w:id="20"/>
      <w:bookmarkEnd w:id="21"/>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财政拨款“三公”经费支出决算0.00万元，比上年增加0.00万元，增长0.00%，主要原因是：我单位无财政拨款“三公”经费支出。其中：因公出国（境）费支出0.00万元，占0.00%，比上年增加0.00万元，增长0.00%，主要原因是：我单位无因公出国（境）费支出；公务用车购置及运行维护费支出0.00万元，占0.00%，比上年增加0.00万元，增长0.00%，主要原因是：我单位无公务用车购置及运行维护费支出；公务接待费支出0.00万元，占0.00%，比上年增加0.00万元，增长0.00%，主要原因是：我单位无公务接待费支出。具体情况如下：</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因公出国（境）费支出0.00万元，开支内容包括我单位无因公出国（境）费支出。单位全年安排的因公出国（境）团组0个，因公出国（境）0人次。</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公务用车购置及运行维护费0.00万元，其中：公务用车购置费0.00万元，公务用车运行维护费0.00万元。公务用车运行维护费开支内容包括我单位无公务用车运行维护费开支。公务用车购置数0辆，公务用车保有量0辆。</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公务接待费0.00万元，开支内容包括我单位无公务接待费。单位全年安排的国内公务接待0批次，0人次。</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与全年预算数相比情况：“三公”经费支出全年预算数0.00万元，决算数0.00万元，预决算差异率0.00%，主要原因是：我单位未安排</w:t>
      </w:r>
      <w:r>
        <w:rPr>
          <w:rFonts w:hint="eastAsia" w:ascii="仿宋_GB2312" w:eastAsia="仿宋_GB2312"/>
          <w:sz w:val="32"/>
          <w:szCs w:val="32"/>
          <w:highlight w:val="none"/>
          <w:lang w:val="en-US" w:eastAsia="zh-CN"/>
        </w:rPr>
        <w:t>财政拨款</w:t>
      </w:r>
      <w:r>
        <w:rPr>
          <w:rFonts w:hint="eastAsia" w:ascii="仿宋_GB2312" w:eastAsia="仿宋_GB2312"/>
          <w:sz w:val="32"/>
          <w:szCs w:val="32"/>
          <w:highlight w:val="none"/>
        </w:rPr>
        <w:t>“三公”经费支出，预决算无差异。</w:t>
      </w:r>
      <w:r>
        <w:rPr>
          <w:rFonts w:hint="eastAsia" w:ascii="仿宋_GB2312" w:eastAsia="仿宋_GB2312"/>
          <w:sz w:val="32"/>
          <w:szCs w:val="32"/>
          <w:highlight w:val="none"/>
          <w:lang w:eastAsia="zh-CN"/>
        </w:rPr>
        <w:t>其中：因公出国（境）费全年预算数0.00万元，决算数0.00万元，预决算差异率0.00%，主要原因是：我单位未安排因公出国（境）费支出，预决算无差异；</w:t>
      </w:r>
      <w:r>
        <w:rPr>
          <w:rFonts w:hint="eastAsia" w:ascii="仿宋_GB2312" w:eastAsia="仿宋_GB2312"/>
          <w:sz w:val="32"/>
          <w:szCs w:val="32"/>
          <w:highlight w:val="none"/>
        </w:rPr>
        <w:t>公务用车购置费全年预算数0.00万元，决算数0.00万元，预决算差异率0.00%，主要原因是：我单位未安排公务用车购置费</w:t>
      </w:r>
      <w:r>
        <w:rPr>
          <w:rFonts w:hint="eastAsia" w:ascii="仿宋_GB2312" w:eastAsia="仿宋_GB2312"/>
          <w:sz w:val="32"/>
          <w:szCs w:val="32"/>
          <w:highlight w:val="none"/>
          <w:lang w:eastAsia="zh-CN"/>
        </w:rPr>
        <w:t>支出</w:t>
      </w:r>
      <w:r>
        <w:rPr>
          <w:rFonts w:hint="eastAsia" w:ascii="仿宋_GB2312" w:eastAsia="仿宋_GB2312"/>
          <w:sz w:val="32"/>
          <w:szCs w:val="32"/>
          <w:highlight w:val="none"/>
        </w:rPr>
        <w:t>，预决算无差异；</w:t>
      </w:r>
      <w:r>
        <w:rPr>
          <w:rFonts w:hint="eastAsia" w:ascii="仿宋_GB2312" w:hAnsi="宋体" w:eastAsia="仿宋_GB2312" w:cs="宋体"/>
          <w:kern w:val="0"/>
          <w:sz w:val="32"/>
          <w:szCs w:val="32"/>
          <w:highlight w:val="none"/>
        </w:rPr>
        <w:t>公务用车运行费全年预算数0.00万元，决算数0.00万元，预决算差异率0.00%，主要原因是：我单位未安排公务用车运行费</w:t>
      </w:r>
      <w:r>
        <w:rPr>
          <w:rFonts w:hint="eastAsia" w:ascii="仿宋_GB2312" w:hAnsi="宋体" w:eastAsia="仿宋_GB2312" w:cs="宋体"/>
          <w:kern w:val="0"/>
          <w:sz w:val="32"/>
          <w:szCs w:val="32"/>
          <w:highlight w:val="none"/>
          <w:lang w:eastAsia="zh-CN"/>
        </w:rPr>
        <w:t>支出</w:t>
      </w:r>
      <w:r>
        <w:rPr>
          <w:rFonts w:hint="eastAsia" w:ascii="仿宋_GB2312" w:hAnsi="宋体" w:eastAsia="仿宋_GB2312" w:cs="宋体"/>
          <w:kern w:val="0"/>
          <w:sz w:val="32"/>
          <w:szCs w:val="32"/>
          <w:highlight w:val="none"/>
        </w:rPr>
        <w:t>，预决算无差异；</w:t>
      </w:r>
      <w:r>
        <w:rPr>
          <w:rFonts w:hint="eastAsia" w:ascii="仿宋_GB2312" w:eastAsia="仿宋_GB2312"/>
          <w:sz w:val="32"/>
          <w:szCs w:val="32"/>
          <w:highlight w:val="none"/>
        </w:rPr>
        <w:t>公务接待费全年预算数0.00万元，决算数0.00万元，预决算差异率0.00%，主要原因是：我单位未安排公务接待费</w:t>
      </w:r>
      <w:r>
        <w:rPr>
          <w:rFonts w:hint="eastAsia" w:ascii="仿宋_GB2312" w:eastAsia="仿宋_GB2312"/>
          <w:sz w:val="32"/>
          <w:szCs w:val="32"/>
          <w:highlight w:val="none"/>
          <w:lang w:eastAsia="zh-CN"/>
        </w:rPr>
        <w:t>支出</w:t>
      </w:r>
      <w:r>
        <w:rPr>
          <w:rFonts w:hint="eastAsia" w:ascii="仿宋_GB2312" w:eastAsia="仿宋_GB2312"/>
          <w:sz w:val="32"/>
          <w:szCs w:val="32"/>
          <w:highlight w:val="none"/>
        </w:rPr>
        <w:t>，预决算无差异。</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22" w:name="_Toc7927"/>
      <w:bookmarkStart w:id="23" w:name="_Toc5810"/>
      <w:r>
        <w:rPr>
          <w:rFonts w:hint="eastAsia" w:ascii="黑体" w:hAnsi="黑体" w:eastAsia="黑体" w:cs="宋体"/>
          <w:kern w:val="0"/>
          <w:sz w:val="32"/>
          <w:szCs w:val="32"/>
          <w:highlight w:val="none"/>
          <w:lang w:eastAsia="zh-CN"/>
        </w:rPr>
        <w:t>八、政府性基金预算财政拨款收入支出决算情况说明</w:t>
      </w:r>
      <w:bookmarkEnd w:id="22"/>
      <w:bookmarkEnd w:id="23"/>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我单位本年度无政府性基金预算财政拨款收入、支出及结转和结余，</w:t>
      </w:r>
      <w:r>
        <w:rPr>
          <w:rFonts w:hint="eastAsia" w:ascii="仿宋_GB2312" w:eastAsia="仿宋_GB2312"/>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我单位本年度无国有资本经营预算财政拨款收入、支出及结转和结余，</w:t>
      </w:r>
      <w:r>
        <w:rPr>
          <w:rFonts w:hint="eastAsia" w:ascii="仿宋_GB2312" w:eastAsia="仿宋_GB2312"/>
          <w:sz w:val="32"/>
          <w:szCs w:val="32"/>
          <w:highlight w:val="none"/>
        </w:rPr>
        <w:t>国有资本经营预算财政拨款收入支出决算表为空表。</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24" w:name="_Toc1235"/>
      <w:bookmarkStart w:id="25" w:name="_Toc7314"/>
      <w:r>
        <w:rPr>
          <w:rFonts w:hint="eastAsia" w:ascii="黑体" w:hAnsi="黑体" w:eastAsia="黑体" w:cs="宋体"/>
          <w:kern w:val="0"/>
          <w:sz w:val="32"/>
          <w:szCs w:val="32"/>
          <w:highlight w:val="none"/>
          <w:lang w:eastAsia="zh-CN"/>
        </w:rPr>
        <w:t>十</w:t>
      </w:r>
      <w:r>
        <w:rPr>
          <w:rFonts w:hint="eastAsia" w:ascii="黑体" w:hAnsi="黑体" w:eastAsia="黑体" w:cs="宋体"/>
          <w:kern w:val="0"/>
          <w:sz w:val="32"/>
          <w:szCs w:val="32"/>
          <w:highlight w:val="none"/>
        </w:rPr>
        <w:t>、其他重要事项的情况</w:t>
      </w:r>
      <w:r>
        <w:rPr>
          <w:rFonts w:hint="eastAsia" w:ascii="黑体" w:hAnsi="黑体" w:eastAsia="黑体" w:cs="宋体"/>
          <w:kern w:val="0"/>
          <w:sz w:val="32"/>
          <w:szCs w:val="32"/>
          <w:highlight w:val="none"/>
          <w:lang w:eastAsia="zh-CN"/>
        </w:rPr>
        <w:t>说明</w:t>
      </w:r>
      <w:bookmarkEnd w:id="24"/>
      <w:bookmarkEnd w:id="25"/>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outlineLvl w:val="2"/>
        <w:rPr>
          <w:rFonts w:hint="eastAsia" w:ascii="黑体" w:hAnsi="黑体" w:eastAsia="黑体"/>
          <w:sz w:val="32"/>
          <w:szCs w:val="32"/>
          <w:highlight w:val="none"/>
        </w:rPr>
      </w:pPr>
      <w:bookmarkStart w:id="26" w:name="_Toc14519"/>
      <w:bookmarkStart w:id="27" w:name="_Toc13105"/>
      <w:r>
        <w:rPr>
          <w:rFonts w:hint="eastAsia" w:ascii="黑体" w:hAnsi="黑体" w:eastAsia="黑体"/>
          <w:sz w:val="32"/>
          <w:szCs w:val="32"/>
          <w:highlight w:val="none"/>
          <w:lang w:eastAsia="zh-CN"/>
        </w:rPr>
        <w:t>（一）</w:t>
      </w:r>
      <w:r>
        <w:rPr>
          <w:rFonts w:hint="eastAsia" w:ascii="黑体" w:hAnsi="黑体" w:eastAsia="黑体"/>
          <w:sz w:val="32"/>
          <w:szCs w:val="32"/>
          <w:highlight w:val="none"/>
        </w:rPr>
        <w:t>机关运行经费支出情况</w:t>
      </w:r>
      <w:bookmarkEnd w:id="26"/>
      <w:bookmarkEnd w:id="27"/>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2022年度新疆塔城地区额敏县阔什比克良种场人口信息服务站（事业单位）公用经费0.00万元，比上年增加0.00万元，增长0.00%，主要原因是：我单位本年度无公用经费支出。</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28" w:name="_Toc26704"/>
      <w:bookmarkStart w:id="29" w:name="_Toc227"/>
      <w:r>
        <w:rPr>
          <w:rFonts w:hint="eastAsia" w:ascii="黑体" w:hAnsi="黑体" w:eastAsia="黑体"/>
          <w:sz w:val="32"/>
          <w:szCs w:val="32"/>
          <w:highlight w:val="none"/>
          <w:lang w:eastAsia="zh-CN"/>
        </w:rPr>
        <w:t>（二）政府采购情况</w:t>
      </w:r>
      <w:bookmarkEnd w:id="28"/>
      <w:bookmarkEnd w:id="29"/>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2022年度政府采购支出总额0.00万元，其中：政府采购货物支出0.00万元、政府采购工程支出0.00万元、政府采购服务支出0.00万元。</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rPr>
        <w:t>授予中小企业合同金额</w:t>
      </w:r>
      <w:r>
        <w:rPr>
          <w:rFonts w:hint="eastAsia" w:ascii="仿宋_GB2312" w:eastAsia="仿宋_GB2312"/>
          <w:sz w:val="32"/>
          <w:szCs w:val="32"/>
          <w:highlight w:val="none"/>
          <w:lang w:eastAsia="zh-CN"/>
        </w:rPr>
        <w:t>0.00</w:t>
      </w:r>
      <w:r>
        <w:rPr>
          <w:rFonts w:hint="eastAsia" w:ascii="仿宋_GB2312" w:eastAsia="仿宋_GB2312"/>
          <w:sz w:val="32"/>
          <w:szCs w:val="32"/>
          <w:highlight w:val="none"/>
        </w:rPr>
        <w:t>万元，占政府采购支出总额的</w:t>
      </w:r>
      <w:r>
        <w:rPr>
          <w:rFonts w:hint="eastAsia" w:ascii="仿宋_GB2312" w:eastAsia="仿宋_GB2312"/>
          <w:sz w:val="32"/>
          <w:szCs w:val="32"/>
          <w:highlight w:val="none"/>
          <w:lang w:eastAsia="zh-CN"/>
        </w:rPr>
        <w:t>0.00</w:t>
      </w:r>
      <w:r>
        <w:rPr>
          <w:rFonts w:hint="eastAsia" w:ascii="仿宋_GB2312" w:eastAsia="仿宋_GB2312"/>
          <w:sz w:val="32"/>
          <w:szCs w:val="32"/>
          <w:highlight w:val="none"/>
          <w:lang w:val="en-US" w:eastAsia="zh-CN"/>
        </w:rPr>
        <w:t>%</w:t>
      </w:r>
      <w:r>
        <w:rPr>
          <w:rFonts w:hint="eastAsia" w:ascii="仿宋_GB2312" w:eastAsia="仿宋_GB2312"/>
          <w:sz w:val="32"/>
          <w:szCs w:val="32"/>
          <w:highlight w:val="none"/>
        </w:rPr>
        <w:t>，其中：授予小微企业合同金额</w:t>
      </w:r>
      <w:r>
        <w:rPr>
          <w:rFonts w:hint="eastAsia" w:ascii="仿宋_GB2312" w:eastAsia="仿宋_GB2312"/>
          <w:sz w:val="32"/>
          <w:szCs w:val="32"/>
          <w:highlight w:val="none"/>
          <w:lang w:eastAsia="zh-CN"/>
        </w:rPr>
        <w:t>0.00</w:t>
      </w:r>
      <w:r>
        <w:rPr>
          <w:rFonts w:hint="eastAsia" w:ascii="仿宋_GB2312" w:eastAsia="仿宋_GB2312"/>
          <w:sz w:val="32"/>
          <w:szCs w:val="32"/>
          <w:highlight w:val="none"/>
        </w:rPr>
        <w:t>万元，占政府采购支出总额的</w:t>
      </w:r>
      <w:r>
        <w:rPr>
          <w:rFonts w:hint="eastAsia" w:ascii="仿宋_GB2312" w:eastAsia="仿宋_GB2312"/>
          <w:sz w:val="32"/>
          <w:szCs w:val="32"/>
          <w:highlight w:val="none"/>
          <w:lang w:eastAsia="zh-CN"/>
        </w:rPr>
        <w:t>0.00</w:t>
      </w:r>
      <w:r>
        <w:rPr>
          <w:rFonts w:hint="eastAsia" w:ascii="仿宋_GB2312" w:eastAsia="仿宋_GB2312"/>
          <w:sz w:val="32"/>
          <w:szCs w:val="32"/>
          <w:highlight w:val="none"/>
          <w:lang w:val="en-US" w:eastAsia="zh-CN"/>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30" w:name="_Toc8391"/>
      <w:bookmarkStart w:id="31" w:name="_Toc4591"/>
      <w:r>
        <w:rPr>
          <w:rFonts w:hint="eastAsia" w:ascii="黑体" w:hAnsi="黑体" w:eastAsia="黑体"/>
          <w:sz w:val="32"/>
          <w:szCs w:val="32"/>
          <w:highlight w:val="none"/>
          <w:lang w:eastAsia="zh-CN"/>
        </w:rPr>
        <w:t>（三）国有资产占用情况说明</w:t>
      </w:r>
      <w:bookmarkEnd w:id="30"/>
      <w:bookmarkEnd w:id="31"/>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截止2022年12月31日，固定资产原值4.63万元，房屋0.00平方米，价值0.00万元。车辆0辆，价值0.00万元，其中：副部（省）级及以上领导用车0辆、主要领导干部用车0辆、机要通信用车0辆、应急保障用车0辆、执法执勤用车0辆、特种专业技术用车0辆、离退休干部用车0辆、其他用车0辆，其他用车主要是：我单位无其他用车；单价100万元（含）以上设备（不含车辆）0台（套）。</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32" w:name="_Toc435"/>
      <w:bookmarkStart w:id="33" w:name="_Toc11283"/>
      <w:r>
        <w:rPr>
          <w:rFonts w:hint="eastAsia" w:ascii="黑体" w:hAnsi="黑体" w:eastAsia="黑体" w:cs="宋体"/>
          <w:kern w:val="0"/>
          <w:sz w:val="32"/>
          <w:szCs w:val="32"/>
          <w:highlight w:val="none"/>
          <w:lang w:eastAsia="zh-CN"/>
        </w:rPr>
        <w:t>十一、预算绩效的情况说明</w:t>
      </w:r>
      <w:bookmarkEnd w:id="32"/>
      <w:bookmarkEnd w:id="33"/>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根据预算绩效管理要求，我单位2022年度开展预算绩效评价项目0个，全年预算数0.00万元，全年执行数0.00万元。预算绩效管理取得的成效：我单位无预算绩效评价项目。发现的问题及原因：我单位无预算绩效评价项目。下一步改进措施：我单位无预算绩效评价项目</w:t>
      </w:r>
      <w:bookmarkStart w:id="54" w:name="_GoBack"/>
      <w:bookmarkEnd w:id="54"/>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autoSpaceDE/>
        <w:autoSpaceDN/>
        <w:adjustRightInd/>
        <w:snapToGrid/>
        <w:spacing w:line="240" w:lineRule="auto"/>
        <w:ind w:firstLine="562" w:firstLineChars="200"/>
        <w:jc w:val="center"/>
        <w:textAlignment w:val="auto"/>
        <w:outlineLvl w:val="0"/>
        <w:rPr>
          <w:rFonts w:hint="eastAsia" w:ascii="黑体" w:hAnsi="黑体" w:eastAsia="黑体"/>
          <w:sz w:val="32"/>
          <w:szCs w:val="32"/>
          <w:highlight w:val="none"/>
        </w:rPr>
      </w:pPr>
      <w:bookmarkStart w:id="34" w:name="_Toc3250"/>
      <w:bookmarkStart w:id="35" w:name="_Toc24143"/>
      <w:r>
        <w:rPr>
          <w:rFonts w:hint="default" w:ascii="黑体"/>
          <w:b/>
          <w:kern w:val="44"/>
          <w:sz w:val="28"/>
        </w:rPr>
        <w:br w:type="page"/>
      </w:r>
      <w:r>
        <w:rPr>
          <w:rFonts w:hint="default" w:ascii="黑体"/>
          <w:b/>
          <w:spacing w:val="40"/>
          <w:sz w:val="28"/>
        </w:rPr>
        <w:t xml:space="preserve"> </w:t>
      </w:r>
      <w:r>
        <w:rPr>
          <w:rFonts w:hint="eastAsia" w:ascii="黑体" w:hAnsi="黑体" w:eastAsia="黑体"/>
          <w:sz w:val="32"/>
          <w:szCs w:val="32"/>
          <w:highlight w:val="none"/>
        </w:rPr>
        <w:t>第三部分 专业名词解释</w:t>
      </w:r>
      <w:bookmarkEnd w:id="34"/>
      <w:bookmarkEnd w:id="35"/>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三公”经费：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机关运行经费：行政单位和参照公务员法管理的事业单位财政拨款基本支出中的公用经费支出。</w:t>
      </w:r>
    </w:p>
    <w:p>
      <w:pPr>
        <w:keepNext w:val="0"/>
        <w:keepLines w:val="0"/>
        <w:pageBreakBefore w:val="0"/>
        <w:widowControl w:val="0"/>
        <w:kinsoku/>
        <w:wordWrap/>
        <w:overflowPunct/>
        <w:topLinePunct w:val="0"/>
        <w:autoSpaceDE/>
        <w:autoSpaceDN/>
        <w:adjustRightInd/>
        <w:snapToGrid/>
        <w:spacing w:line="240" w:lineRule="auto"/>
        <w:ind w:firstLine="562" w:firstLineChars="200"/>
        <w:jc w:val="center"/>
        <w:textAlignment w:val="auto"/>
        <w:outlineLvl w:val="0"/>
        <w:rPr>
          <w:rFonts w:hint="eastAsia" w:ascii="黑体" w:hAnsi="黑体" w:eastAsia="黑体"/>
          <w:sz w:val="32"/>
          <w:szCs w:val="32"/>
          <w:highlight w:val="none"/>
        </w:rPr>
      </w:pPr>
      <w:bookmarkStart w:id="36" w:name="_Toc28903"/>
      <w:bookmarkStart w:id="37" w:name="_Toc22784"/>
      <w:r>
        <w:rPr>
          <w:rFonts w:hint="default" w:ascii="黑体"/>
          <w:b/>
          <w:kern w:val="44"/>
          <w:sz w:val="28"/>
        </w:rPr>
        <w:br w:type="page"/>
      </w:r>
      <w:r>
        <w:rPr>
          <w:rFonts w:hint="default" w:ascii="黑体"/>
          <w:b/>
          <w:spacing w:val="40"/>
          <w:sz w:val="28"/>
        </w:rPr>
        <w:t xml:space="preserve"> </w:t>
      </w:r>
      <w:r>
        <w:rPr>
          <w:rFonts w:hint="eastAsia" w:ascii="黑体" w:hAnsi="黑体" w:eastAsia="黑体"/>
          <w:sz w:val="32"/>
          <w:szCs w:val="32"/>
          <w:highlight w:val="none"/>
        </w:rPr>
        <w:t>第四部分 部门决算报表（见附表）</w:t>
      </w:r>
      <w:bookmarkEnd w:id="36"/>
      <w:bookmarkEnd w:id="3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38" w:name="_Toc6062"/>
      <w:bookmarkStart w:id="39" w:name="_Toc2183"/>
      <w:r>
        <w:rPr>
          <w:rFonts w:hint="eastAsia" w:ascii="黑体" w:hAnsi="黑体" w:eastAsia="黑体" w:cs="宋体"/>
          <w:kern w:val="0"/>
          <w:sz w:val="32"/>
          <w:szCs w:val="32"/>
          <w:highlight w:val="none"/>
        </w:rPr>
        <w:t>一、《收入支出决算总表》</w:t>
      </w:r>
      <w:bookmarkEnd w:id="38"/>
      <w:bookmarkEnd w:id="39"/>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0" w:name="_Toc30364"/>
      <w:bookmarkStart w:id="41" w:name="_Toc24532"/>
      <w:r>
        <w:rPr>
          <w:rFonts w:hint="eastAsia" w:ascii="黑体" w:hAnsi="黑体" w:eastAsia="黑体" w:cs="宋体"/>
          <w:kern w:val="0"/>
          <w:sz w:val="32"/>
          <w:szCs w:val="32"/>
          <w:highlight w:val="none"/>
        </w:rPr>
        <w:t>二、《收入决算表》</w:t>
      </w:r>
      <w:bookmarkEnd w:id="40"/>
      <w:bookmarkEnd w:id="41"/>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2" w:name="_Toc21304"/>
      <w:bookmarkStart w:id="43" w:name="_Toc32434"/>
      <w:r>
        <w:rPr>
          <w:rFonts w:hint="eastAsia" w:ascii="黑体" w:hAnsi="黑体" w:eastAsia="黑体" w:cs="宋体"/>
          <w:kern w:val="0"/>
          <w:sz w:val="32"/>
          <w:szCs w:val="32"/>
          <w:highlight w:val="none"/>
        </w:rPr>
        <w:t>三、《支出决算表》</w:t>
      </w:r>
      <w:bookmarkEnd w:id="42"/>
      <w:bookmarkEnd w:id="43"/>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4" w:name="_Toc28786"/>
      <w:bookmarkStart w:id="45" w:name="_Toc14238"/>
      <w:r>
        <w:rPr>
          <w:rFonts w:hint="eastAsia" w:ascii="黑体" w:hAnsi="黑体" w:eastAsia="黑体" w:cs="宋体"/>
          <w:kern w:val="0"/>
          <w:sz w:val="32"/>
          <w:szCs w:val="32"/>
          <w:highlight w:val="none"/>
        </w:rPr>
        <w:t>四、《财政拨款收入支出决算总表》</w:t>
      </w:r>
      <w:bookmarkEnd w:id="44"/>
      <w:bookmarkEnd w:id="45"/>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6" w:name="_Toc10347"/>
      <w:bookmarkStart w:id="47" w:name="_Toc14869"/>
      <w:r>
        <w:rPr>
          <w:rFonts w:hint="eastAsia" w:ascii="黑体" w:hAnsi="黑体" w:eastAsia="黑体" w:cs="宋体"/>
          <w:kern w:val="0"/>
          <w:sz w:val="32"/>
          <w:szCs w:val="32"/>
          <w:highlight w:val="none"/>
        </w:rPr>
        <w:t>五、《一般公共预算财政拨款支出决算表》</w:t>
      </w:r>
      <w:bookmarkEnd w:id="46"/>
      <w:bookmarkEnd w:id="4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8" w:name="_Toc8884"/>
      <w:bookmarkStart w:id="49" w:name="_Toc5626"/>
      <w:r>
        <w:rPr>
          <w:rFonts w:hint="eastAsia" w:ascii="黑体" w:hAnsi="黑体" w:eastAsia="黑体" w:cs="宋体"/>
          <w:kern w:val="0"/>
          <w:sz w:val="32"/>
          <w:szCs w:val="32"/>
          <w:highlight w:val="none"/>
        </w:rPr>
        <w:t>六、《一般公共预算财政拨款基本支出决算表》</w:t>
      </w:r>
      <w:bookmarkEnd w:id="48"/>
      <w:bookmarkEnd w:id="49"/>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50" w:name="_Toc29106"/>
      <w:bookmarkStart w:id="51" w:name="_Toc32663"/>
      <w:r>
        <w:rPr>
          <w:rFonts w:hint="eastAsia" w:ascii="黑体" w:hAnsi="黑体" w:eastAsia="黑体" w:cs="宋体"/>
          <w:kern w:val="0"/>
          <w:sz w:val="32"/>
          <w:szCs w:val="32"/>
          <w:highlight w:val="none"/>
        </w:rPr>
        <w:t>七、《财政拨款“三公”经费支出决算表》</w:t>
      </w:r>
      <w:bookmarkEnd w:id="50"/>
      <w:bookmarkEnd w:id="51"/>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52" w:name="_Toc7643"/>
      <w:bookmarkStart w:id="53" w:name="_Toc5453"/>
      <w:r>
        <w:rPr>
          <w:rFonts w:hint="eastAsia" w:ascii="黑体" w:hAnsi="黑体" w:eastAsia="黑体" w:cs="宋体"/>
          <w:kern w:val="0"/>
          <w:sz w:val="32"/>
          <w:szCs w:val="32"/>
          <w:highlight w:val="none"/>
        </w:rPr>
        <w:t>八、《政府性基金预算财政拨款收入支出决算表》</w:t>
      </w:r>
      <w:bookmarkEnd w:id="52"/>
      <w:bookmarkEnd w:id="53"/>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rPr>
        <w:t>九、《国有资本经营预算财政拨款收入支出决算表》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2000000000000000000"/>
    <w:charset w:val="86"/>
    <w:family w:val="auto"/>
    <w:pitch w:val="default"/>
    <w:sig w:usb0="00000000" w:usb1="00000000" w:usb2="00082016" w:usb3="00000000" w:csb0="00040001" w:csb1="00000000"/>
  </w:font>
  <w:font w:name="仿宋_GB2312">
    <w:altName w:val="仿宋"/>
    <w:panose1 w:val="00000000000000000000"/>
    <w:charset w:val="00"/>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center" w:pos="4153"/>
        <w:tab w:val="right" w:pos="8306"/>
      </w:tabs>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4"/>
                  <w:tabs>
                    <w:tab w:val="center" w:pos="4153"/>
                    <w:tab w:val="right" w:pos="8306"/>
                  </w:tabs>
                  <w:rPr>
                    <w:rFonts w:hint="eastAsia" w:eastAsia="宋体"/>
                    <w:lang w:eastAsia="zh-CN"/>
                  </w:rPr>
                </w:pPr>
                <w:r>
                  <w:rPr>
                    <w:rFonts w:hint="eastAsia"/>
                    <w:lang w:eastAsia="zh-CN"/>
                  </w:rPr>
                  <w:fldChar w:fldCharType="begin"/>
                </w:r>
                <w:r>
                  <w:rPr>
                    <w:rFonts w:hint="eastAsia"/>
                    <w:lang w:eastAsia="zh-CN"/>
                  </w:rPr>
                  <w:instrText xml:space="preserve"> PAGE \* MERGEFORMAT</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ulTrailSpace/>
    <w:doNotExpandShiftReturn/>
    <w:adjustLineHeightInTable/>
    <w:useFELayout/>
    <w:useAltKinsokuLineBreakRules/>
    <w:splitPgBreakAndParaMark/>
    <w:compatSetting w:name="compatibilityMode" w:uri="http://schemas.microsoft.com/office/word" w:val="11"/>
  </w:compat>
  <w:docVars>
    <w:docVar w:name="commondata" w:val="eyJoZGlkIjoiZDEzZmRjNGE1MWFhMmQ5YTI4N2U2NGVhNTI5YmQ5NzAifQ=="/>
  </w:docVars>
  <w:rsids>
    <w:rsidRoot w:val="00000000"/>
    <w:rsid w:val="048B359A"/>
    <w:rsid w:val="232345E3"/>
    <w:rsid w:val="3FE671EF"/>
    <w:rsid w:val="4A517B1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hint="default" w:ascii="Times New Roman" w:hAnsi="Times New Roman" w:eastAsia="宋体" w:cs="Times New Roman"/>
      <w:kern w:val="2"/>
      <w:sz w:val="21"/>
      <w:szCs w:val="24"/>
      <w:lang w:val="en-US" w:eastAsia="zh-CN"/>
    </w:rPr>
  </w:style>
  <w:style w:type="character" w:default="1" w:styleId="9">
    <w:name w:val="Default Paragraph Fon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uiPriority w:val="0"/>
    <w:pPr>
      <w:ind w:left="840" w:leftChars="400"/>
    </w:pPr>
  </w:style>
  <w:style w:type="paragraph" w:styleId="4">
    <w:name w:val="footer"/>
    <w:basedOn w:val="1"/>
    <w:qFormat/>
    <w:uiPriority w:val="0"/>
    <w:pPr>
      <w:snapToGrid w:val="0"/>
      <w:jc w:val="left"/>
    </w:pPr>
    <w:rPr>
      <w:sz w:val="18"/>
    </w:rPr>
  </w:style>
  <w:style w:type="paragraph" w:styleId="5">
    <w:name w:val="header"/>
    <w:basedOn w:val="1"/>
    <w:qFormat/>
    <w:uiPriority w:val="0"/>
    <w:pPr>
      <w:pBdr>
        <w:top w:val="none" w:color="auto" w:sz="0" w:space="0"/>
        <w:left w:val="none" w:color="auto" w:sz="0" w:space="0"/>
        <w:bottom w:val="none" w:color="auto" w:sz="0" w:space="0"/>
        <w:right w:val="none" w:color="auto" w:sz="0" w:space="0"/>
      </w:pBdr>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uiPriority w:val="0"/>
    <w:pPr>
      <w:ind w:left="420" w:leftChars="200"/>
    </w:pPr>
  </w:style>
  <w:style w:type="paragraph" w:customStyle="1" w:styleId="10">
    <w:name w:val="WPSOffice手动目录 3"/>
    <w:uiPriority w:val="0"/>
    <w:pPr>
      <w:ind w:left="400" w:leftChars="400"/>
    </w:pPr>
    <w:rPr>
      <w:rFonts w:ascii="Times New Roman" w:hAnsi="Times New Roman" w:eastAsia="宋体" w:cs="Times New Roman"/>
      <w:sz w:val="20"/>
      <w:szCs w:val="20"/>
    </w:rPr>
  </w:style>
  <w:style w:type="paragraph" w:customStyle="1" w:styleId="11">
    <w:name w:val="WPSOffice手动目录 2"/>
    <w:qFormat/>
    <w:uiPriority w:val="0"/>
    <w:pPr>
      <w:ind w:left="200"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15</Pages>
  <Words>4917</Words>
  <Characters>5455</Characters>
  <Lines>0</Lines>
  <Paragraphs>0</Paragraphs>
  <TotalTime>2</TotalTime>
  <ScaleCrop>false</ScaleCrop>
  <LinksUpToDate>false</LinksUpToDate>
  <CharactersWithSpaces>5479</CharactersWithSpaces>
  <Application>WPS Office_12.1.0.16929_F1E327BC-269C-435d-A152-05C5408002CA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琪琪妈妈</cp:lastModifiedBy>
  <dcterms:modified xsi:type="dcterms:W3CDTF">2024-06-25T23:41:18Z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E8EA7ED0BFFA4B24BBC406A8B82CC03F_13</vt:lpwstr>
  </property>
</Properties>
</file>