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CAAE25">
      <w:pPr>
        <w:pStyle w:val="8"/>
        <w:spacing w:line="360" w:lineRule="auto"/>
        <w:jc w:val="both"/>
        <w:rPr>
          <w:b/>
          <w:sz w:val="44"/>
          <w:szCs w:val="44"/>
        </w:rPr>
      </w:pPr>
    </w:p>
    <w:p w14:paraId="625CB475">
      <w:pPr>
        <w:pStyle w:val="8"/>
        <w:spacing w:line="360" w:lineRule="auto"/>
        <w:jc w:val="center"/>
        <w:rPr>
          <w:b/>
          <w:sz w:val="44"/>
          <w:szCs w:val="44"/>
        </w:rPr>
      </w:pPr>
    </w:p>
    <w:p w14:paraId="322B77D6">
      <w:pPr>
        <w:pStyle w:val="8"/>
        <w:spacing w:line="360" w:lineRule="auto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额敏县</w:t>
      </w:r>
      <w:r>
        <w:rPr>
          <w:rFonts w:hint="eastAsia"/>
          <w:b/>
          <w:sz w:val="44"/>
          <w:szCs w:val="44"/>
          <w:lang w:val="en-US" w:eastAsia="zh-CN"/>
        </w:rPr>
        <w:t>加尔布拉克农场</w:t>
      </w:r>
      <w:r>
        <w:rPr>
          <w:rFonts w:hint="eastAsia"/>
          <w:b/>
          <w:sz w:val="44"/>
          <w:szCs w:val="44"/>
        </w:rPr>
        <w:t>202</w:t>
      </w:r>
      <w:r>
        <w:rPr>
          <w:rFonts w:hint="eastAsia"/>
          <w:b/>
          <w:sz w:val="44"/>
          <w:szCs w:val="44"/>
          <w:lang w:val="en-US" w:eastAsia="zh-CN"/>
        </w:rPr>
        <w:t>2</w:t>
      </w:r>
      <w:r>
        <w:rPr>
          <w:rFonts w:hint="eastAsia"/>
          <w:b/>
          <w:sz w:val="44"/>
          <w:szCs w:val="44"/>
        </w:rPr>
        <w:t>年财政</w:t>
      </w:r>
      <w:r>
        <w:rPr>
          <w:rFonts w:hint="eastAsia"/>
          <w:b/>
          <w:sz w:val="44"/>
          <w:szCs w:val="44"/>
          <w:lang w:val="en-US" w:eastAsia="zh-CN"/>
        </w:rPr>
        <w:t>衔接推进乡村振兴补助</w:t>
      </w:r>
      <w:r>
        <w:rPr>
          <w:rFonts w:hint="eastAsia"/>
          <w:b/>
          <w:sz w:val="44"/>
          <w:szCs w:val="44"/>
        </w:rPr>
        <w:t>资金绩效自评总结报告</w:t>
      </w:r>
    </w:p>
    <w:p w14:paraId="2EF127E8">
      <w:pPr>
        <w:pStyle w:val="8"/>
        <w:spacing w:line="360" w:lineRule="auto"/>
        <w:jc w:val="center"/>
        <w:rPr>
          <w:b/>
          <w:sz w:val="44"/>
          <w:szCs w:val="44"/>
        </w:rPr>
      </w:pPr>
    </w:p>
    <w:p w14:paraId="544DE4CC">
      <w:pPr>
        <w:pStyle w:val="8"/>
        <w:spacing w:line="360" w:lineRule="auto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（</w:t>
      </w:r>
      <w:r>
        <w:rPr>
          <w:sz w:val="44"/>
          <w:szCs w:val="44"/>
        </w:rPr>
        <w:t>20</w:t>
      </w:r>
      <w:r>
        <w:rPr>
          <w:rFonts w:hint="eastAsia"/>
          <w:sz w:val="44"/>
          <w:szCs w:val="44"/>
        </w:rPr>
        <w:t>2</w:t>
      </w:r>
      <w:r>
        <w:rPr>
          <w:rFonts w:hint="eastAsia"/>
          <w:sz w:val="44"/>
          <w:szCs w:val="44"/>
          <w:lang w:val="en-US" w:eastAsia="zh-CN"/>
        </w:rPr>
        <w:t>2</w:t>
      </w:r>
      <w:r>
        <w:rPr>
          <w:rFonts w:hint="eastAsia"/>
          <w:sz w:val="44"/>
          <w:szCs w:val="44"/>
        </w:rPr>
        <w:t>年度）</w:t>
      </w:r>
    </w:p>
    <w:p w14:paraId="589210A3">
      <w:pPr>
        <w:pStyle w:val="8"/>
        <w:spacing w:line="360" w:lineRule="auto"/>
        <w:rPr>
          <w:sz w:val="44"/>
          <w:szCs w:val="44"/>
        </w:rPr>
      </w:pPr>
    </w:p>
    <w:p w14:paraId="2D08AFD7">
      <w:pPr>
        <w:pStyle w:val="8"/>
        <w:spacing w:line="360" w:lineRule="auto"/>
        <w:rPr>
          <w:sz w:val="44"/>
          <w:szCs w:val="44"/>
        </w:rPr>
      </w:pPr>
    </w:p>
    <w:p w14:paraId="69ED0123">
      <w:pPr>
        <w:pStyle w:val="8"/>
        <w:spacing w:line="360" w:lineRule="auto"/>
        <w:rPr>
          <w:sz w:val="44"/>
          <w:szCs w:val="44"/>
        </w:rPr>
      </w:pPr>
    </w:p>
    <w:p w14:paraId="042B7F80">
      <w:pPr>
        <w:pStyle w:val="8"/>
        <w:spacing w:line="360" w:lineRule="auto"/>
        <w:rPr>
          <w:rFonts w:hint="eastAsia"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hint="eastAsia"/>
          <w:sz w:val="36"/>
          <w:szCs w:val="36"/>
        </w:rPr>
        <w:t>项</w:t>
      </w:r>
      <w:r>
        <w:rPr>
          <w:sz w:val="36"/>
          <w:szCs w:val="36"/>
        </w:rPr>
        <w:t xml:space="preserve">  </w:t>
      </w:r>
      <w:r>
        <w:rPr>
          <w:rFonts w:hint="eastAsia"/>
          <w:sz w:val="36"/>
          <w:szCs w:val="36"/>
        </w:rPr>
        <w:t>目</w:t>
      </w:r>
      <w:r>
        <w:rPr>
          <w:sz w:val="36"/>
          <w:szCs w:val="36"/>
        </w:rPr>
        <w:t xml:space="preserve">  </w:t>
      </w:r>
      <w:r>
        <w:rPr>
          <w:rFonts w:hint="eastAsia"/>
          <w:sz w:val="36"/>
          <w:szCs w:val="36"/>
        </w:rPr>
        <w:t>名</w:t>
      </w:r>
      <w:r>
        <w:rPr>
          <w:sz w:val="36"/>
          <w:szCs w:val="36"/>
        </w:rPr>
        <w:t xml:space="preserve">  </w:t>
      </w:r>
      <w:r>
        <w:rPr>
          <w:rFonts w:hint="eastAsia"/>
          <w:sz w:val="36"/>
          <w:szCs w:val="36"/>
        </w:rPr>
        <w:t>称：</w:t>
      </w:r>
      <w:r>
        <w:rPr>
          <w:rFonts w:hint="eastAsia" w:ascii="仿宋_GB2312" w:hAnsi="Times New Roman" w:cs="Times New Roman"/>
          <w:kern w:val="0"/>
          <w:sz w:val="32"/>
          <w:szCs w:val="32"/>
          <w:lang w:val="en-US" w:eastAsia="zh-CN" w:bidi="en-US"/>
        </w:rPr>
        <w:t>额敏县</w:t>
      </w:r>
      <w:r>
        <w:rPr>
          <w:rFonts w:hint="eastAsia" w:ascii="仿宋_GB2312" w:hAnsi="Times New Roman" w:cs="Times New Roman"/>
          <w:kern w:val="0"/>
          <w:sz w:val="32"/>
          <w:szCs w:val="32"/>
          <w:lang w:bidi="en-US"/>
        </w:rPr>
        <w:t>加尔布拉克农场果园提升建设</w:t>
      </w:r>
    </w:p>
    <w:p w14:paraId="01F8F337">
      <w:pPr>
        <w:pStyle w:val="8"/>
        <w:spacing w:line="360" w:lineRule="auto"/>
        <w:rPr>
          <w:rFonts w:hint="eastAsia"/>
          <w:color w:val="auto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</w:rPr>
        <w:t>实施单位（公章）：</w:t>
      </w:r>
      <w:r>
        <w:rPr>
          <w:rFonts w:hint="eastAsia"/>
          <w:color w:val="auto"/>
          <w:sz w:val="36"/>
          <w:szCs w:val="36"/>
          <w:lang w:val="en-US" w:eastAsia="zh-CN"/>
        </w:rPr>
        <w:t>额敏县加尔布拉克农场</w:t>
      </w:r>
    </w:p>
    <w:p w14:paraId="06DA3993">
      <w:pPr>
        <w:pStyle w:val="8"/>
        <w:spacing w:line="360" w:lineRule="auto"/>
        <w:rPr>
          <w:rFonts w:hint="eastAsia"/>
          <w:color w:val="auto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</w:rPr>
        <w:t>主管部门（公章）：</w:t>
      </w:r>
      <w:r>
        <w:rPr>
          <w:rFonts w:hint="eastAsia"/>
          <w:color w:val="auto"/>
          <w:sz w:val="36"/>
          <w:szCs w:val="36"/>
          <w:lang w:val="en-US" w:eastAsia="zh-CN"/>
        </w:rPr>
        <w:t>额敏县农业农村局</w:t>
      </w:r>
    </w:p>
    <w:p w14:paraId="364F7447">
      <w:pPr>
        <w:pStyle w:val="8"/>
        <w:spacing w:line="360" w:lineRule="auto"/>
        <w:rPr>
          <w:rFonts w:hint="eastAsia" w:eastAsia="宋体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</w:rPr>
        <w:t>项目负责人（签章）：</w:t>
      </w:r>
    </w:p>
    <w:p w14:paraId="2F0CEC1A">
      <w:pPr>
        <w:pStyle w:val="8"/>
        <w:spacing w:line="360" w:lineRule="auto"/>
        <w:rPr>
          <w:sz w:val="36"/>
          <w:szCs w:val="36"/>
        </w:rPr>
      </w:pPr>
    </w:p>
    <w:p w14:paraId="06B5B5EA">
      <w:pPr>
        <w:pStyle w:val="8"/>
        <w:spacing w:line="360" w:lineRule="auto"/>
        <w:ind w:firstLine="360" w:firstLineChars="10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填报时间：202</w:t>
      </w:r>
      <w:r>
        <w:rPr>
          <w:rFonts w:hint="eastAsia"/>
          <w:sz w:val="36"/>
          <w:szCs w:val="36"/>
          <w:lang w:val="en-US" w:eastAsia="zh-CN"/>
        </w:rPr>
        <w:t>2</w:t>
      </w:r>
      <w:r>
        <w:rPr>
          <w:rFonts w:hint="eastAsia"/>
          <w:sz w:val="36"/>
          <w:szCs w:val="36"/>
        </w:rPr>
        <w:t>年</w:t>
      </w:r>
      <w:r>
        <w:rPr>
          <w:rFonts w:hint="eastAsia"/>
          <w:sz w:val="36"/>
          <w:szCs w:val="36"/>
          <w:lang w:val="en-US" w:eastAsia="zh-CN"/>
        </w:rPr>
        <w:t>2</w:t>
      </w:r>
      <w:r>
        <w:rPr>
          <w:rFonts w:hint="eastAsia"/>
          <w:sz w:val="36"/>
          <w:szCs w:val="36"/>
        </w:rPr>
        <w:t>月</w:t>
      </w:r>
      <w:r>
        <w:rPr>
          <w:rFonts w:hint="eastAsia"/>
          <w:sz w:val="36"/>
          <w:szCs w:val="36"/>
          <w:lang w:val="en-US" w:eastAsia="zh-CN"/>
        </w:rPr>
        <w:t>28</w:t>
      </w:r>
      <w:r>
        <w:rPr>
          <w:rFonts w:hint="eastAsia"/>
          <w:sz w:val="36"/>
          <w:szCs w:val="36"/>
        </w:rPr>
        <w:t>日</w:t>
      </w:r>
    </w:p>
    <w:p w14:paraId="27AD4823">
      <w:pPr>
        <w:pStyle w:val="8"/>
        <w:spacing w:line="360" w:lineRule="auto"/>
        <w:jc w:val="center"/>
        <w:rPr>
          <w:rFonts w:ascii="方正小标宋_GBK" w:hAnsi="黑体" w:eastAsia="方正小标宋_GBK" w:cs="黑体"/>
          <w:sz w:val="36"/>
          <w:szCs w:val="36"/>
        </w:rPr>
      </w:pPr>
    </w:p>
    <w:p w14:paraId="67365820">
      <w:pPr>
        <w:pStyle w:val="8"/>
        <w:spacing w:line="360" w:lineRule="auto"/>
        <w:jc w:val="center"/>
        <w:rPr>
          <w:rFonts w:ascii="方正小标宋_GBK" w:hAnsi="黑体" w:eastAsia="方正小标宋_GBK" w:cs="黑体"/>
          <w:sz w:val="36"/>
          <w:szCs w:val="36"/>
        </w:rPr>
      </w:pPr>
    </w:p>
    <w:p w14:paraId="25AAA34D">
      <w:pPr>
        <w:pStyle w:val="8"/>
        <w:spacing w:line="360" w:lineRule="auto"/>
        <w:jc w:val="center"/>
        <w:rPr>
          <w:rFonts w:ascii="方正小标宋_GBK" w:hAnsi="黑体" w:eastAsia="方正小标宋_GBK" w:cs="黑体"/>
          <w:sz w:val="36"/>
          <w:szCs w:val="36"/>
        </w:rPr>
      </w:pPr>
    </w:p>
    <w:p w14:paraId="114FF692">
      <w:pPr>
        <w:pStyle w:val="8"/>
        <w:spacing w:line="360" w:lineRule="auto"/>
        <w:jc w:val="center"/>
        <w:rPr>
          <w:rFonts w:hint="eastAsia" w:ascii="方正小标宋_GBK" w:hAnsi="黑体" w:eastAsia="方正小标宋_GBK" w:cs="黑体"/>
          <w:sz w:val="36"/>
          <w:szCs w:val="36"/>
          <w:lang w:eastAsia="zh-CN"/>
        </w:rPr>
      </w:pPr>
      <w:r>
        <w:rPr>
          <w:rFonts w:hint="eastAsia" w:ascii="方正小标宋_GBK" w:hAnsi="黑体" w:eastAsia="方正小标宋_GBK" w:cs="黑体"/>
          <w:sz w:val="36"/>
          <w:szCs w:val="36"/>
          <w:lang w:eastAsia="zh-CN"/>
        </w:rPr>
        <w:t>额敏县</w:t>
      </w:r>
      <w:r>
        <w:rPr>
          <w:rFonts w:hint="eastAsia" w:ascii="方正小标宋_GBK" w:hAnsi="黑体" w:eastAsia="方正小标宋_GBK" w:cs="黑体"/>
          <w:color w:val="auto"/>
          <w:sz w:val="36"/>
          <w:szCs w:val="36"/>
          <w:lang w:val="en-US" w:eastAsia="zh-CN"/>
        </w:rPr>
        <w:t>加尔布拉克农场</w:t>
      </w:r>
      <w:r>
        <w:rPr>
          <w:rFonts w:hint="eastAsia" w:ascii="方正小标宋_GBK" w:hAnsi="黑体" w:eastAsia="方正小标宋_GBK" w:cs="黑体"/>
          <w:sz w:val="36"/>
          <w:szCs w:val="36"/>
          <w:lang w:eastAsia="zh-CN"/>
        </w:rPr>
        <w:t>2022年财政衔接推进乡村</w:t>
      </w:r>
    </w:p>
    <w:p w14:paraId="7EEF6934">
      <w:pPr>
        <w:pStyle w:val="8"/>
        <w:spacing w:line="360" w:lineRule="auto"/>
        <w:jc w:val="center"/>
        <w:rPr>
          <w:rFonts w:hint="eastAsia" w:ascii="方正小标宋_GBK" w:hAnsi="黑体" w:eastAsia="方正小标宋_GBK" w:cs="黑体"/>
          <w:sz w:val="36"/>
          <w:szCs w:val="36"/>
          <w:lang w:eastAsia="zh-CN"/>
        </w:rPr>
      </w:pPr>
      <w:r>
        <w:rPr>
          <w:rFonts w:hint="eastAsia" w:ascii="方正小标宋_GBK" w:hAnsi="黑体" w:eastAsia="方正小标宋_GBK" w:cs="黑体"/>
          <w:sz w:val="36"/>
          <w:szCs w:val="36"/>
          <w:lang w:eastAsia="zh-CN"/>
        </w:rPr>
        <w:t>振兴</w:t>
      </w:r>
      <w:r>
        <w:rPr>
          <w:rFonts w:hint="eastAsia" w:ascii="方正小标宋_GBK" w:hAnsi="黑体" w:eastAsia="方正小标宋_GBK" w:cs="黑体"/>
          <w:sz w:val="36"/>
          <w:szCs w:val="36"/>
          <w:lang w:val="en-US" w:eastAsia="zh-CN"/>
        </w:rPr>
        <w:t>补助</w:t>
      </w:r>
      <w:r>
        <w:rPr>
          <w:rFonts w:hint="eastAsia" w:ascii="方正小标宋_GBK" w:hAnsi="黑体" w:eastAsia="方正小标宋_GBK" w:cs="黑体"/>
          <w:sz w:val="36"/>
          <w:szCs w:val="36"/>
          <w:lang w:eastAsia="zh-CN"/>
        </w:rPr>
        <w:t>资金绩效自评总结报告</w:t>
      </w:r>
    </w:p>
    <w:p w14:paraId="183653D7">
      <w:pPr>
        <w:pStyle w:val="8"/>
        <w:spacing w:line="360" w:lineRule="auto"/>
        <w:ind w:firstLine="161" w:firstLineChars="50"/>
        <w:rPr>
          <w:rFonts w:ascii="黑体" w:hAnsi="黑体" w:eastAsia="黑体" w:cs="仿宋_GB2312"/>
          <w:b/>
          <w:sz w:val="32"/>
          <w:szCs w:val="32"/>
        </w:rPr>
      </w:pPr>
      <w:r>
        <w:rPr>
          <w:rFonts w:hint="eastAsia" w:ascii="黑体" w:hAnsi="黑体" w:eastAsia="黑体" w:cs="仿宋_GB2312"/>
          <w:b/>
          <w:sz w:val="32"/>
          <w:szCs w:val="32"/>
        </w:rPr>
        <w:t>一、绩效目标分解下达情况</w:t>
      </w:r>
    </w:p>
    <w:p w14:paraId="520EC22E">
      <w:pPr>
        <w:pStyle w:val="8"/>
        <w:spacing w:line="360" w:lineRule="auto"/>
        <w:ind w:firstLine="643" w:firstLineChars="200"/>
        <w:rPr>
          <w:rFonts w:ascii="黑体" w:hAnsi="黑体" w:eastAsia="黑体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财政衔接推进乡村振兴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补助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资金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下达预算及项目情况</w:t>
      </w:r>
    </w:p>
    <w:p w14:paraId="124B4435">
      <w:pPr>
        <w:pStyle w:val="8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1.下达预算情况</w:t>
      </w:r>
    </w:p>
    <w:p w14:paraId="64E1A664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本项目合计下达资金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万元。全部为中央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(自治区）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财政衔接推进乡村振兴补助资金，具体如下：</w:t>
      </w:r>
    </w:p>
    <w:p w14:paraId="45E38519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地区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财政局《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转发中央财政厅关于下达2021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年自治区提前告知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财政专项扶贫资金（暂定名）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预算的通知》（塔地财扶［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号）下达中央扶贫发展资金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191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万元；</w:t>
      </w:r>
    </w:p>
    <w:p w14:paraId="1408775F">
      <w:pPr>
        <w:pStyle w:val="8"/>
        <w:numPr>
          <w:ilvl w:val="0"/>
          <w:numId w:val="1"/>
        </w:numPr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项目情况</w:t>
      </w:r>
    </w:p>
    <w:p w14:paraId="4E050128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县财政衔接推进乡村振兴补助资金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安排，该项目主要对我乡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脱贫</w:t>
      </w:r>
      <w:r>
        <w:rPr>
          <w:rFonts w:hint="eastAsia" w:ascii="仿宋_GB2312" w:hAnsi="仿宋_GB2312" w:eastAsia="仿宋_GB2312" w:cs="仿宋_GB2312"/>
          <w:sz w:val="32"/>
          <w:szCs w:val="32"/>
        </w:rPr>
        <w:t>户基础设施建设项目。具体情况如下：</w:t>
      </w:r>
    </w:p>
    <w:p w14:paraId="5B1A9B0D">
      <w:pPr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根据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额敏县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乡村振兴领导小组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下发的《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额乡镇局发【2022】10号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（塔市乡振领发[2021]14号）文件，建设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内容如下：</w:t>
      </w:r>
    </w:p>
    <w:p w14:paraId="36B0C6BA">
      <w:pPr>
        <w:pStyle w:val="8"/>
        <w:spacing w:line="360" w:lineRule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项目总投资：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191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万元。</w:t>
      </w:r>
    </w:p>
    <w:p w14:paraId="185B6DC0"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主要建设内容：酒花村农家乐提升改造218.9平方米，地面硬化1520平方米及配套基础设施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；果园村廊道建设696平方米，木屋4间，廊道吊顶1378平方米，防护设施180米及配套基础设施。</w:t>
      </w:r>
    </w:p>
    <w:p w14:paraId="44B7F029">
      <w:pPr>
        <w:pStyle w:val="8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2D311FA6">
      <w:pPr>
        <w:pStyle w:val="8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财政衔接推进乡村振兴补助资金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项目绩效目标设定情况</w:t>
      </w:r>
    </w:p>
    <w:p w14:paraId="5C50865E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县财政衔接推进乡村振兴补助资金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安排，该项目主要对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脱贫</w:t>
      </w:r>
      <w:r>
        <w:rPr>
          <w:rFonts w:hint="eastAsia" w:ascii="仿宋_GB2312" w:hAnsi="仿宋_GB2312" w:eastAsia="仿宋_GB2312" w:cs="仿宋_GB2312"/>
          <w:sz w:val="32"/>
          <w:szCs w:val="32"/>
        </w:rPr>
        <w:t>村基础设施建设项目申报绩效目标。</w:t>
      </w:r>
    </w:p>
    <w:p w14:paraId="5578744D">
      <w:pPr>
        <w:pStyle w:val="8"/>
        <w:numPr>
          <w:ilvl w:val="0"/>
          <w:numId w:val="2"/>
        </w:num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项目绩效总体目标设定如下：</w:t>
      </w:r>
    </w:p>
    <w:p w14:paraId="47D36E90"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目标1：</w:t>
      </w:r>
      <w:r>
        <w:rPr>
          <w:rFonts w:hint="eastAsia" w:ascii="仿宋_GB2312" w:hAnsi="仿宋_GB2312" w:eastAsia="仿宋_GB2312" w:cs="仿宋_GB2312"/>
          <w:sz w:val="32"/>
          <w:szCs w:val="32"/>
        </w:rPr>
        <w:t>酒花村农家乐提升改造218.9平方米，地面硬化1520平方米及配套基础设施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；果园村廊道建设696平方米，木屋4间，廊道吊顶1378平方米，防护设施180米及配套基础设施。</w:t>
      </w:r>
    </w:p>
    <w:p w14:paraId="0B66F45E">
      <w:pPr>
        <w:pStyle w:val="8"/>
        <w:spacing w:line="360" w:lineRule="auto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</w:p>
    <w:p w14:paraId="12D4BCDB">
      <w:pPr>
        <w:pStyle w:val="8"/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（2）具体绩效指标见下表：</w:t>
      </w:r>
    </w:p>
    <w:tbl>
      <w:tblPr>
        <w:tblStyle w:val="9"/>
        <w:tblW w:w="850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23"/>
        <w:gridCol w:w="1507"/>
        <w:gridCol w:w="1576"/>
        <w:gridCol w:w="3162"/>
        <w:gridCol w:w="1734"/>
      </w:tblGrid>
      <w:tr w14:paraId="3006F7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CBBB4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标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78BA2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一级指标</w:t>
            </w: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448F8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二级指标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1BA71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三级指标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05595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指标值</w:t>
            </w:r>
          </w:p>
        </w:tc>
      </w:tr>
      <w:tr w14:paraId="2B017A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565BF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5C2C2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产出指标</w:t>
            </w: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4F763B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数量指标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D6CA4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廊道建设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4644B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696平方米</w:t>
            </w:r>
          </w:p>
        </w:tc>
      </w:tr>
      <w:tr w14:paraId="6367E5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0A27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39768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179D39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数量指标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90B12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木屋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D2DBE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4间</w:t>
            </w:r>
          </w:p>
        </w:tc>
      </w:tr>
      <w:tr w14:paraId="649A3C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439F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2C89F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22CAC3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数量指标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2D631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廊道吊顶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D4B34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1378平方米</w:t>
            </w:r>
          </w:p>
        </w:tc>
      </w:tr>
      <w:tr w14:paraId="0253AA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B9075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29A51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D34590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数量指标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039A9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防护设施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B45CF2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180米</w:t>
            </w:r>
          </w:p>
        </w:tc>
      </w:tr>
      <w:tr w14:paraId="21342F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CF23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32956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9FB479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数量指标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43022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农家乐提升改造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B60E25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218.9平方米</w:t>
            </w:r>
          </w:p>
        </w:tc>
      </w:tr>
      <w:tr w14:paraId="0D088F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7192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EC0C7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A5AA8D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数量指标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71054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地面硬化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14B98A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1520平方米</w:t>
            </w:r>
          </w:p>
        </w:tc>
      </w:tr>
      <w:tr w14:paraId="51EF93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6970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D3842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7B4A5E"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质量指标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7FAE1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项目工程合格率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C2FEBC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100%</w:t>
            </w:r>
          </w:p>
        </w:tc>
      </w:tr>
      <w:tr w14:paraId="59FEC1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BD19B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967C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C49DC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时效指标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6C332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开工时间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4B29F2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2022年4月5日</w:t>
            </w:r>
          </w:p>
        </w:tc>
      </w:tr>
      <w:tr w14:paraId="3B7202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95435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65C65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06DC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73B7F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完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工时间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A498FB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2022年6月30日</w:t>
            </w:r>
          </w:p>
        </w:tc>
      </w:tr>
      <w:tr w14:paraId="37B701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BEFD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489E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79E35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成本指标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12C0E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果园提升改造及附属设施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F1249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≤145万元</w:t>
            </w:r>
          </w:p>
        </w:tc>
      </w:tr>
      <w:tr w14:paraId="7E2F88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7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BEFB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0DD9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CC355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成本指标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BF553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廊道建设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8D958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≤46万元</w:t>
            </w:r>
          </w:p>
        </w:tc>
      </w:tr>
      <w:tr w14:paraId="6EFC19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4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4C08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F037A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效益指标</w:t>
            </w: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EC61B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经济效益指标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3C6F4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A5610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7AB395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031E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9463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D53C1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社会效益指标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749E2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受益群众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19AEA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≥22户</w:t>
            </w:r>
          </w:p>
        </w:tc>
      </w:tr>
      <w:tr w14:paraId="0B1585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DFC65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3F0A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87033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D3A1E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改善乡村发展基础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3674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显著改善</w:t>
            </w:r>
          </w:p>
        </w:tc>
      </w:tr>
      <w:tr w14:paraId="3BEAA2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7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8CC4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94435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58A5E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生态效益指标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0E2CF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促进生态环境的良性发展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1CF7F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有效促进</w:t>
            </w:r>
          </w:p>
        </w:tc>
      </w:tr>
      <w:tr w14:paraId="042C2D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7C1D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AFDD8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37201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可持续影响指标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6124D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预计使用年限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70F2A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≥10年</w:t>
            </w:r>
          </w:p>
        </w:tc>
      </w:tr>
      <w:tr w14:paraId="504A77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3" w:hRule="atLeast"/>
        </w:trPr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7B77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A496D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满意度指标</w:t>
            </w: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60CF5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服务对象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满意度指标</w:t>
            </w:r>
          </w:p>
        </w:tc>
        <w:tc>
          <w:tcPr>
            <w:tcW w:w="3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2E09F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农牧民满意度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28C72E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90%</w:t>
            </w:r>
          </w:p>
        </w:tc>
      </w:tr>
    </w:tbl>
    <w:p w14:paraId="41D60744">
      <w:pPr>
        <w:pStyle w:val="8"/>
        <w:spacing w:line="360" w:lineRule="auto"/>
        <w:ind w:firstLine="640" w:firstLineChars="200"/>
        <w:jc w:val="center"/>
        <w:rPr>
          <w:rFonts w:ascii="仿宋_GB2312" w:hAnsi="仿宋_GB2312" w:eastAsia="仿宋_GB2312" w:cs="仿宋_GB2312"/>
          <w:sz w:val="32"/>
          <w:szCs w:val="32"/>
        </w:rPr>
      </w:pPr>
    </w:p>
    <w:p w14:paraId="3589D2D0">
      <w:pPr>
        <w:pStyle w:val="8"/>
        <w:spacing w:line="360" w:lineRule="auto"/>
        <w:rPr>
          <w:rFonts w:ascii="黑体" w:hAnsi="黑体" w:eastAsia="黑体" w:cs="仿宋_GB2312"/>
          <w:b/>
          <w:sz w:val="32"/>
          <w:szCs w:val="32"/>
        </w:rPr>
      </w:pPr>
      <w:r>
        <w:rPr>
          <w:rFonts w:hint="eastAsia" w:ascii="黑体" w:hAnsi="黑体" w:eastAsia="黑体" w:cs="仿宋_GB2312"/>
          <w:b/>
          <w:sz w:val="32"/>
          <w:szCs w:val="32"/>
        </w:rPr>
        <w:t>三、绩效自评工作开展情况</w:t>
      </w:r>
    </w:p>
    <w:p w14:paraId="7178FEC1">
      <w:pPr>
        <w:pStyle w:val="8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（一）自评工作开展范围</w:t>
      </w:r>
    </w:p>
    <w:p w14:paraId="7B474752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项目合计下达资金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1910000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。通过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分析该项目资金使用、管理和项目实施等情况，规范项目申报、公示、审批、实施、监管、验收及资金发放等程序，对项目主管单位和实施单位的资金分配、管理等制度进行开展自评工作。</w:t>
      </w:r>
    </w:p>
    <w:p w14:paraId="16FC49E1">
      <w:pPr>
        <w:pStyle w:val="8"/>
        <w:spacing w:line="360" w:lineRule="auto"/>
        <w:ind w:firstLine="643" w:firstLineChars="200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（二）自评工作开展对象</w:t>
      </w:r>
    </w:p>
    <w:p w14:paraId="0F2EC35E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根据《国务院办公厅关于转发&lt;财政部、国务院扶贫办、国家发展改革委扶贫项目资金绩效管理办法&gt;的通知》（国办发〔2018〕35号）和《财政部关于全面加强脱贫攻坚期内各级各类扶贫资金管理的意见》（财办〔2018〕24号）等文件精神，及《新疆维吾尔自治区县级扶贫项目资金绩效管理操作指南（试行）》，对本项目的预算资金执行情况及绩效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目标的完成情况开展自评。</w:t>
      </w:r>
    </w:p>
    <w:p w14:paraId="3CD808E6">
      <w:pPr>
        <w:pStyle w:val="8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（三）自评工作开展时间</w:t>
      </w:r>
    </w:p>
    <w:p w14:paraId="28BA9FE7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日开展自评工作。</w:t>
      </w:r>
    </w:p>
    <w:p w14:paraId="255EEBDF">
      <w:pPr>
        <w:pStyle w:val="8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（四）自评工作开展方式</w:t>
      </w:r>
    </w:p>
    <w:p w14:paraId="56D60DF9">
      <w:pPr>
        <w:pStyle w:val="8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、前期准备</w:t>
      </w:r>
    </w:p>
    <w:p w14:paraId="08532F20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（1）整理项目全过程资料建档：资金及项目内容批复文件、绩效目标申报表、实施方案、验收等作为评价基础资料。</w:t>
      </w:r>
    </w:p>
    <w:p w14:paraId="042CC639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（2）由本单位、主管科室、财务等人员组成评价组。</w:t>
      </w:r>
    </w:p>
    <w:p w14:paraId="2629CF18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（3）自评工作组采取“目标预定与实施效果比较法”进行评价，评价指标体系以绩效目标申报表中的指标为依据。</w:t>
      </w:r>
    </w:p>
    <w:p w14:paraId="51F795E9">
      <w:pPr>
        <w:pStyle w:val="8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、组织过程</w:t>
      </w:r>
    </w:p>
    <w:p w14:paraId="2064B1F9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（1）采取现场和非现场评价相结合的方式实施评价，核查核实评价基础资料。</w:t>
      </w:r>
    </w:p>
    <w:p w14:paraId="414CB995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（2）记录工作底稿并经项目负责人和经办人签字确认。需要调查问卷的，发放调查问卷开展满意度调查工作。</w:t>
      </w:r>
    </w:p>
    <w:p w14:paraId="7171A231">
      <w:pPr>
        <w:pStyle w:val="8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、分析评价</w:t>
      </w:r>
    </w:p>
    <w:p w14:paraId="000C4B94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对采集的数据资料进行复核汇总、分类整理和综合分析，按照设立的评价指标、标准、权重、方法实施评价，并形成评价结论。</w:t>
      </w:r>
    </w:p>
    <w:p w14:paraId="3054741A">
      <w:pPr>
        <w:pStyle w:val="8"/>
        <w:spacing w:line="360" w:lineRule="auto"/>
        <w:rPr>
          <w:rFonts w:ascii="黑体" w:hAnsi="黑体" w:eastAsia="黑体" w:cs="仿宋_GB2312"/>
          <w:b/>
          <w:sz w:val="32"/>
          <w:szCs w:val="32"/>
        </w:rPr>
      </w:pPr>
      <w:r>
        <w:rPr>
          <w:rFonts w:hint="eastAsia" w:ascii="黑体" w:hAnsi="黑体" w:eastAsia="黑体" w:cs="仿宋_GB2312"/>
          <w:b/>
          <w:sz w:val="32"/>
          <w:szCs w:val="32"/>
        </w:rPr>
        <w:t>四、绩效目标自评完成情况分析</w:t>
      </w:r>
    </w:p>
    <w:p w14:paraId="3AF923CE">
      <w:pPr>
        <w:pStyle w:val="8"/>
        <w:spacing w:line="360" w:lineRule="auto"/>
        <w:rPr>
          <w:rFonts w:ascii="黑体" w:hAnsi="黑体" w:eastAsia="黑体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（一）资金投入情况分析</w:t>
      </w:r>
    </w:p>
    <w:p w14:paraId="551837EC">
      <w:pPr>
        <w:pStyle w:val="8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1.项目资金到位情况分析</w:t>
      </w:r>
    </w:p>
    <w:p w14:paraId="57F56ABC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本项目全部预算资金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191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万元，实际到位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191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全部为中央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自治区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）财政衔接推进乡村振兴补助资金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，资金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预算到位率100%。</w:t>
      </w:r>
    </w:p>
    <w:p w14:paraId="0C56E7F9">
      <w:pPr>
        <w:pStyle w:val="8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2.项目资金执行情况分析</w:t>
      </w:r>
    </w:p>
    <w:p w14:paraId="5F8EA8D2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本项目全部预算资金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191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万元，全年执行数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182.47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万元，资金执行率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95.54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%。</w:t>
      </w:r>
    </w:p>
    <w:p w14:paraId="022D0077">
      <w:pPr>
        <w:pStyle w:val="8"/>
        <w:spacing w:line="360" w:lineRule="auto"/>
        <w:ind w:firstLine="643" w:firstLineChars="200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3.项目资金管理情况分析</w:t>
      </w:r>
    </w:p>
    <w:p w14:paraId="1DE06EF9">
      <w:pPr>
        <w:spacing w:line="560" w:lineRule="exact"/>
        <w:ind w:firstLine="640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资金投入情况：该项目年初预算数191万元，全年预算数191万元，实际总投入188.53万元，该项目资金已全部落实到位,资金来源为财政拨款资金。</w:t>
      </w:r>
    </w:p>
    <w:p w14:paraId="7E6B383C">
      <w:pPr>
        <w:spacing w:line="560" w:lineRule="exact"/>
        <w:ind w:firstLine="640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资金使用情况：该项目年初预算数191万元，全年预算数191万元，全年执行数182.47万元，预算执行率为95.54%；用于酒花村农家乐提升改造218.9平方米，地面硬化1520平方米及配套基础设施；果园村廊道建设696平方米，木屋4间，廊道吊顶1378平方米，防护设施180米及配套基础设施。</w:t>
      </w:r>
    </w:p>
    <w:p w14:paraId="4A414345">
      <w:pPr>
        <w:pStyle w:val="8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（二）绩效目标完成情况分析</w:t>
      </w:r>
    </w:p>
    <w:p w14:paraId="07FE8236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iCs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</w:rPr>
        <w:t>通过项目的实施，达到改善</w:t>
      </w:r>
      <w:r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  <w:t>改善乡村发展基础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的目标，助力了脱贫攻坚。</w:t>
      </w:r>
    </w:p>
    <w:p w14:paraId="2674B709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iCs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</w:rPr>
        <w:t>总体目标完成情况：</w:t>
      </w:r>
    </w:p>
    <w:p w14:paraId="7801693D">
      <w:pPr>
        <w:spacing w:line="560" w:lineRule="exact"/>
        <w:ind w:firstLine="640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</w:rPr>
        <w:t>目标1：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用于酒花村农家乐提升改造218.9平方米，地面硬化1520平方米及配套基础设施；果园村廊道建设696平方米，木屋4间，廊道吊顶1378平方米，防护设施180米及配套基础设施。</w:t>
      </w:r>
    </w:p>
    <w:p w14:paraId="4A8209D9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本项目共设置一级指标3个，二级指标7个，三级指标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个，其中已完成三级指标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个，指标完成率为100%。</w:t>
      </w:r>
    </w:p>
    <w:p w14:paraId="08F69482">
      <w:pPr>
        <w:pStyle w:val="8"/>
        <w:spacing w:line="360" w:lineRule="auto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1.产出指标完成情况分析</w:t>
      </w:r>
    </w:p>
    <w:p w14:paraId="1C3A2BD8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（1）数量指标</w:t>
      </w:r>
    </w:p>
    <w:p w14:paraId="27F5E166">
      <w:pPr>
        <w:spacing w:line="360" w:lineRule="auto"/>
        <w:ind w:firstLine="56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指标1：廊道建设，指标值：696平方米，实际完成值 696平方米，指标完成率100 %；指标2：木屋，指标值：4间 ，实际完成值4间，指标完成率100 %；指标3：廊道吊顶，指标值：1378平方米 ，实际完成值1378平方米，指标完成率100 %；指标4：防护设施，指标值：180米 ，实际完成值180米，指标完成率100 %；指标5：农家乐提升改造，指标值：218.9平方米 ，实际完成值218.9平方米，指标完成率100 %；指标6：地面硬化，指标值：1520平方米 ，实际完成值218.9平方米，指标完成率100 %。</w:t>
      </w:r>
    </w:p>
    <w:p w14:paraId="1D34A059">
      <w:pPr>
        <w:pStyle w:val="8"/>
        <w:numPr>
          <w:ilvl w:val="0"/>
          <w:numId w:val="2"/>
        </w:numPr>
        <w:spacing w:line="360" w:lineRule="auto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质量指标</w:t>
      </w:r>
    </w:p>
    <w:p w14:paraId="738BAE4E">
      <w:pPr>
        <w:spacing w:line="360" w:lineRule="auto"/>
        <w:ind w:firstLine="560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  <w:t>质量指标：指标1：项目工程合格率，指标值：100%，实际完成值100%，指标完成率100%</w:t>
      </w:r>
    </w:p>
    <w:p w14:paraId="7B3C07D9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在计划期限内完成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验收，验收结果评定为合格，并且已经投入使用。</w:t>
      </w:r>
    </w:p>
    <w:p w14:paraId="0378711F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（3）时效指标</w:t>
      </w:r>
    </w:p>
    <w:p w14:paraId="6C7CFF40">
      <w:pPr>
        <w:spacing w:line="360" w:lineRule="auto"/>
        <w:ind w:firstLine="56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指标1：开工时间，指标值：2022年4月5日，实际完成值 2022年4月5日 ，指标完成率 100 %；指标2：完工时间，指标值：2022年6月30日，实际完成值 2022年6月30日 ，指标完成率 100 %。</w:t>
      </w:r>
    </w:p>
    <w:p w14:paraId="384256AE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（4）成本指标</w:t>
      </w:r>
    </w:p>
    <w:p w14:paraId="1486FD34">
      <w:pPr>
        <w:spacing w:line="360" w:lineRule="auto"/>
        <w:ind w:firstLine="56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指标1：果园提升改造及附属设施，指标值：小于等于142.53万元 ，实际完成值133.03万元，指标完成率93.33 %；指标2：廊道建设，指标值：小于等于46万元 ，实际完成值46万元，指标完成率100 %；</w:t>
      </w:r>
    </w:p>
    <w:p w14:paraId="2BDB5DBF">
      <w:pPr>
        <w:pStyle w:val="8"/>
        <w:spacing w:line="360" w:lineRule="auto"/>
        <w:ind w:left="420" w:left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2.效益指标完成情况分析</w:t>
      </w:r>
    </w:p>
    <w:p w14:paraId="3FC0A785">
      <w:pPr>
        <w:pStyle w:val="8"/>
        <w:spacing w:line="360" w:lineRule="auto"/>
        <w:ind w:left="420" w:left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（1）社会效益指标</w:t>
      </w:r>
    </w:p>
    <w:p w14:paraId="696F3EE6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评价指标1.受益群众，指标值：22户，实际完成值22户；评价指标2.改善乡村发展基础，指标值：显著改善，实际完成值：达成年度指标;项目建成后，吸引更多的游客，可以带动本地及周边地区的经济增长，增强了农民的自豪感和幸福感。</w:t>
      </w:r>
    </w:p>
    <w:p w14:paraId="03DAA260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生态效益指标：评价指标促进生态环境的良性发展，指标值：有效促进，实际完成值：达成年度指标。长期以来基础设施建设发展缓慢。项目建成后涉及面广、收益高是农民脱贫致富的良好选择,将进一步促进农村现代化、美丽乡村建设，推进乡村环境改造，道路标准化建设。将有效保护村队村容村貌，促进生态环境的良性发展。</w:t>
      </w:r>
    </w:p>
    <w:p w14:paraId="24B8E8C1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可持续影响指标：评价指标预计使用年限，指标值：大于等于10年，实际完成值：大于等于10年；达成年度指标。该项目投入使用后，降低了城乡差距，为今后发展乡村旅游、观光采摘、民宿、餐饮等打下了坚实的基础。</w:t>
      </w:r>
    </w:p>
    <w:p w14:paraId="1AD4132A">
      <w:pPr>
        <w:pStyle w:val="8"/>
        <w:spacing w:line="360" w:lineRule="auto"/>
        <w:ind w:left="638" w:leftChars="304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3.满意度指标完成情况分析</w:t>
      </w:r>
    </w:p>
    <w:p w14:paraId="412565A1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评价指标农牧民满意度，指标值：≥95%，实际完成值：95%。</w:t>
      </w:r>
    </w:p>
    <w:p w14:paraId="57E3AA6A">
      <w:pPr>
        <w:pStyle w:val="8"/>
        <w:spacing w:line="360" w:lineRule="auto"/>
        <w:ind w:firstLine="643" w:firstLineChars="200"/>
        <w:rPr>
          <w:rFonts w:ascii="黑体" w:hAnsi="黑体" w:eastAsia="黑体" w:cs="仿宋_GB2312"/>
          <w:b/>
          <w:sz w:val="32"/>
          <w:szCs w:val="32"/>
        </w:rPr>
      </w:pPr>
      <w:r>
        <w:rPr>
          <w:rFonts w:hint="eastAsia" w:ascii="黑体" w:hAnsi="黑体" w:eastAsia="黑体" w:cs="仿宋_GB2312"/>
          <w:b/>
          <w:sz w:val="32"/>
          <w:szCs w:val="32"/>
        </w:rPr>
        <w:t>五、偏离绩效目标的原因和下一步改进措施</w:t>
      </w:r>
    </w:p>
    <w:p w14:paraId="1F884AC6">
      <w:pPr>
        <w:spacing w:line="360" w:lineRule="auto"/>
        <w:ind w:firstLine="560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（一）偏离绩效目标的原因</w:t>
      </w:r>
    </w:p>
    <w:p w14:paraId="6FAC8DAE">
      <w:pPr>
        <w:pStyle w:val="1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Style w:val="11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1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  <w:lang w:val="en-US" w:eastAsia="zh-CN"/>
        </w:rPr>
        <w:t>1、</w:t>
      </w:r>
      <w:r>
        <w:rPr>
          <w:rStyle w:val="11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算编制前根据年度内单位可预见的工作任务，确定了单位年度预算目标，细化了预算指标，但是在实际支付过程中，个别时候未严格按照预算指标执行。</w:t>
      </w:r>
    </w:p>
    <w:p w14:paraId="276CDFDE">
      <w:pPr>
        <w:pStyle w:val="1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Style w:val="11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1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  <w:lang w:val="en-US" w:eastAsia="zh-CN"/>
        </w:rPr>
        <w:t>2、</w:t>
      </w:r>
      <w:r>
        <w:rPr>
          <w:rStyle w:val="11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  <w:lang w:eastAsia="zh-CN"/>
        </w:rPr>
        <w:t>预</w:t>
      </w:r>
      <w:r>
        <w:rPr>
          <w:rStyle w:val="11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算单位财务人员缺乏对预算管理的认识，现有的认知无法很好的完成此项工作。</w:t>
      </w:r>
    </w:p>
    <w:p w14:paraId="3F77104C">
      <w:pPr>
        <w:pStyle w:val="8"/>
        <w:spacing w:line="360" w:lineRule="auto"/>
        <w:ind w:firstLine="321" w:firstLineChars="100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（二）下一步改进措施</w:t>
      </w:r>
    </w:p>
    <w:p w14:paraId="22B7C795">
      <w:pPr>
        <w:pStyle w:val="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42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本项目按照预期内完成建设任务，已经使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通过项目的实施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sz w:val="32"/>
          <w:szCs w:val="32"/>
        </w:rPr>
        <w:t>加快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sz w:val="32"/>
          <w:szCs w:val="32"/>
          <w:lang w:eastAsia="zh-CN"/>
        </w:rPr>
        <w:t>实施乡村振兴战略</w:t>
      </w:r>
      <w:r>
        <w:rPr>
          <w:rFonts w:hint="eastAsia" w:ascii="仿宋_GB2312" w:hAnsi="仿宋_GB2312" w:eastAsia="仿宋_GB2312" w:cs="仿宋_GB2312"/>
          <w:b w:val="0"/>
          <w:bCs/>
          <w:i w:val="0"/>
          <w:caps w:val="0"/>
          <w:spacing w:val="0"/>
          <w:w w:val="100"/>
          <w:sz w:val="32"/>
          <w:szCs w:val="32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可提升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  <w:t>加尔布拉克农场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基础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设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w w:val="100"/>
          <w:sz w:val="32"/>
          <w:szCs w:val="32"/>
        </w:rPr>
        <w:t>施建设，为乡村振兴建设和乡村休闲旅游奠定了坚实的基础。</w:t>
      </w:r>
      <w:r>
        <w:rPr>
          <w:rFonts w:hint="eastAsia" w:ascii="仿宋_GB2312" w:hAnsi="仿宋_GB2312" w:eastAsia="仿宋_GB2312" w:cs="仿宋_GB2312"/>
          <w:sz w:val="32"/>
          <w:szCs w:val="32"/>
        </w:rPr>
        <w:t>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场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在今后的项目建设当中对设计目标要提高设计标准，优化、细化方案，对各项指标和指标值的设定要进一步优化、完善。 </w:t>
      </w:r>
    </w:p>
    <w:p w14:paraId="65808A1E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后期我单位将做好该项目的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所有档案归整工作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做好后期管控的监管工作，保障项目效益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72C18B34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今后对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进行跟踪管理，健全工程管护的管理机制，以便使项目建设发挥更大的效益。</w:t>
      </w:r>
    </w:p>
    <w:p w14:paraId="6520735D">
      <w:pPr>
        <w:pStyle w:val="8"/>
        <w:spacing w:line="360" w:lineRule="auto"/>
        <w:ind w:firstLine="643" w:firstLineChars="200"/>
        <w:rPr>
          <w:rFonts w:ascii="黑体" w:hAnsi="黑体" w:eastAsia="黑体" w:cs="仿宋_GB2312"/>
          <w:b/>
          <w:sz w:val="32"/>
          <w:szCs w:val="32"/>
        </w:rPr>
      </w:pPr>
      <w:r>
        <w:rPr>
          <w:rFonts w:hint="eastAsia" w:ascii="黑体" w:hAnsi="黑体" w:eastAsia="黑体" w:cs="仿宋_GB2312"/>
          <w:b/>
          <w:sz w:val="32"/>
          <w:szCs w:val="32"/>
        </w:rPr>
        <w:t>五、绩效自评结果拟应用和公开情况</w:t>
      </w:r>
    </w:p>
    <w:p w14:paraId="744BE80E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iCs/>
          <w:sz w:val="32"/>
          <w:szCs w:val="32"/>
        </w:rPr>
        <w:t>经综合评价，本项目实施达成预期指标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，</w:t>
      </w:r>
      <w:r>
        <w:rPr>
          <w:rFonts w:ascii="仿宋_GB2312" w:hAnsi="仿宋_GB2312" w:eastAsia="仿宋_GB2312" w:cs="仿宋_GB2312"/>
          <w:iCs/>
          <w:sz w:val="32"/>
          <w:szCs w:val="32"/>
        </w:rPr>
        <w:t>资金使用、管理、保障到位，严格执行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《中央财政衔接推进乡村振兴补助资金管理办法》</w:t>
      </w:r>
      <w:r>
        <w:rPr>
          <w:rFonts w:ascii="仿宋_GB2312" w:hAnsi="仿宋_GB2312" w:eastAsia="仿宋_GB2312" w:cs="仿宋_GB2312"/>
          <w:iCs/>
          <w:sz w:val="32"/>
          <w:szCs w:val="32"/>
        </w:rPr>
        <w:t>，能按照实施方案执行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项目管理</w:t>
      </w:r>
      <w:r>
        <w:rPr>
          <w:rFonts w:ascii="仿宋_GB2312" w:hAnsi="仿宋_GB2312" w:eastAsia="仿宋_GB2312" w:cs="仿宋_GB2312"/>
          <w:iCs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达到</w:t>
      </w:r>
      <w:r>
        <w:rPr>
          <w:rFonts w:hint="eastAsia" w:ascii="仿宋_GB2312" w:hAnsi="仿宋_GB2312" w:eastAsia="仿宋_GB2312" w:cs="仿宋_GB2312"/>
          <w:iCs/>
          <w:sz w:val="32"/>
          <w:szCs w:val="32"/>
          <w:lang w:eastAsia="zh-CN"/>
        </w:rPr>
        <w:t>预期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目标，助力了脱贫攻坚。</w:t>
      </w:r>
      <w:r>
        <w:rPr>
          <w:rFonts w:hint="eastAsia" w:ascii="仿宋_GB2312" w:hAnsi="仿宋_GB2312" w:eastAsia="仿宋_GB2312" w:cs="仿宋_GB2312"/>
          <w:sz w:val="32"/>
          <w:szCs w:val="32"/>
        </w:rPr>
        <w:t>今后要积极采取其他部门的反馈意见，针对反馈意见，在今后的补助项目当中举一反三，提高项目建设管理能力，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为下一阶段开展工作做好准备。</w:t>
      </w:r>
    </w:p>
    <w:p w14:paraId="104FCB5A">
      <w:pPr>
        <w:pStyle w:val="8"/>
        <w:spacing w:line="360" w:lineRule="auto"/>
        <w:ind w:firstLine="640" w:firstLineChars="200"/>
        <w:rPr>
          <w:rFonts w:ascii="仿宋_GB2312" w:hAnsi="仿宋_GB2312" w:eastAsia="仿宋_GB2312" w:cs="仿宋_GB2312"/>
          <w:iCs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</w:rPr>
        <w:t>本项目，</w:t>
      </w:r>
      <w:r>
        <w:rPr>
          <w:rFonts w:ascii="仿宋_GB2312" w:hAnsi="仿宋_GB2312" w:eastAsia="仿宋_GB2312" w:cs="仿宋_GB2312"/>
          <w:iCs/>
          <w:sz w:val="32"/>
          <w:szCs w:val="32"/>
        </w:rPr>
        <w:t>综合</w:t>
      </w:r>
      <w:r>
        <w:rPr>
          <w:rFonts w:hint="eastAsia" w:ascii="仿宋_GB2312" w:hAnsi="仿宋_GB2312" w:eastAsia="仿宋_GB2312" w:cs="仿宋_GB2312"/>
          <w:iCs/>
          <w:sz w:val="32"/>
          <w:szCs w:val="32"/>
        </w:rPr>
        <w:t>自评</w:t>
      </w:r>
      <w:r>
        <w:rPr>
          <w:rFonts w:ascii="仿宋_GB2312" w:hAnsi="仿宋_GB2312" w:eastAsia="仿宋_GB2312" w:cs="仿宋_GB2312"/>
          <w:iCs/>
          <w:sz w:val="32"/>
          <w:szCs w:val="32"/>
        </w:rPr>
        <w:t>得分为</w:t>
      </w:r>
      <w:r>
        <w:rPr>
          <w:rFonts w:hint="eastAsia" w:ascii="仿宋_GB2312" w:hAnsi="仿宋_GB2312" w:eastAsia="仿宋_GB2312" w:cs="仿宋_GB2312"/>
          <w:iCs/>
          <w:sz w:val="32"/>
          <w:szCs w:val="32"/>
          <w:lang w:val="en-US" w:eastAsia="zh-CN"/>
        </w:rPr>
        <w:t>99.55</w:t>
      </w:r>
      <w:r>
        <w:rPr>
          <w:rFonts w:ascii="仿宋_GB2312" w:hAnsi="仿宋_GB2312" w:eastAsia="仿宋_GB2312" w:cs="仿宋_GB2312"/>
          <w:iCs/>
          <w:sz w:val="32"/>
          <w:szCs w:val="32"/>
        </w:rPr>
        <w:t>分。</w:t>
      </w:r>
    </w:p>
    <w:p w14:paraId="23BE700B">
      <w:pPr>
        <w:pStyle w:val="8"/>
        <w:spacing w:line="360" w:lineRule="auto"/>
        <w:ind w:firstLine="640" w:firstLineChars="200"/>
      </w:pPr>
      <w:r>
        <w:rPr>
          <w:rFonts w:hint="eastAsia" w:ascii="仿宋_GB2312" w:hAnsi="仿宋_GB2312" w:eastAsia="仿宋_GB2312" w:cs="仿宋_GB2312"/>
          <w:iCs/>
          <w:sz w:val="32"/>
          <w:szCs w:val="32"/>
        </w:rPr>
        <w:t>本项目绩效自评报告将按照规定要求，</w:t>
      </w:r>
      <w:r>
        <w:rPr>
          <w:rFonts w:ascii="仿宋_GB2312" w:hAnsi="仿宋_GB2312" w:eastAsia="仿宋_GB2312" w:cs="仿宋_GB2312"/>
          <w:iCs/>
          <w:sz w:val="32"/>
          <w:szCs w:val="32"/>
        </w:rPr>
        <w:t>通过门户网站或张榜公示等方式向社会公开，接受社会监督。</w:t>
      </w:r>
    </w:p>
    <w:p w14:paraId="6AB6F27E">
      <w:pPr>
        <w:pStyle w:val="8"/>
        <w:spacing w:line="360" w:lineRule="auto"/>
        <w:ind w:firstLine="36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64DAAB">
    <w:pPr>
      <w:pStyle w:val="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3</w:t>
    </w:r>
    <w:r>
      <w:fldChar w:fldCharType="end"/>
    </w:r>
  </w:p>
  <w:p w14:paraId="2D5E5E2A"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2FBF8D"/>
    <w:multiLevelType w:val="singleLevel"/>
    <w:tmpl w:val="882FBF8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50730C2"/>
    <w:multiLevelType w:val="singleLevel"/>
    <w:tmpl w:val="350730C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k5NWE2MWExNzc2ZDM2NDM1MTJjMGYzY2VlMmQ3YWQifQ=="/>
  </w:docVars>
  <w:rsids>
    <w:rsidRoot w:val="00477BED"/>
    <w:rsid w:val="000635A2"/>
    <w:rsid w:val="00076C79"/>
    <w:rsid w:val="000A5A76"/>
    <w:rsid w:val="000D439B"/>
    <w:rsid w:val="000E59AC"/>
    <w:rsid w:val="00101E48"/>
    <w:rsid w:val="001157CD"/>
    <w:rsid w:val="001510A9"/>
    <w:rsid w:val="00164B84"/>
    <w:rsid w:val="001866F7"/>
    <w:rsid w:val="001C04CF"/>
    <w:rsid w:val="001D316D"/>
    <w:rsid w:val="001E307F"/>
    <w:rsid w:val="001E7FF6"/>
    <w:rsid w:val="001F1A6C"/>
    <w:rsid w:val="002431FF"/>
    <w:rsid w:val="00244CE7"/>
    <w:rsid w:val="00262BB2"/>
    <w:rsid w:val="002B12DE"/>
    <w:rsid w:val="002B6039"/>
    <w:rsid w:val="002E6EE1"/>
    <w:rsid w:val="0031466F"/>
    <w:rsid w:val="00350956"/>
    <w:rsid w:val="00362FEA"/>
    <w:rsid w:val="003A15F4"/>
    <w:rsid w:val="004041FF"/>
    <w:rsid w:val="004167C2"/>
    <w:rsid w:val="00425639"/>
    <w:rsid w:val="004611E5"/>
    <w:rsid w:val="00477BED"/>
    <w:rsid w:val="00481536"/>
    <w:rsid w:val="004A3CCC"/>
    <w:rsid w:val="004B718E"/>
    <w:rsid w:val="004D5AD8"/>
    <w:rsid w:val="00504210"/>
    <w:rsid w:val="00525C9E"/>
    <w:rsid w:val="00531CF5"/>
    <w:rsid w:val="00564F9E"/>
    <w:rsid w:val="0057435B"/>
    <w:rsid w:val="00590CF1"/>
    <w:rsid w:val="005B2ED5"/>
    <w:rsid w:val="005C3F39"/>
    <w:rsid w:val="005E6AC9"/>
    <w:rsid w:val="00607882"/>
    <w:rsid w:val="00622812"/>
    <w:rsid w:val="00632633"/>
    <w:rsid w:val="00637041"/>
    <w:rsid w:val="00673E8D"/>
    <w:rsid w:val="00687AB4"/>
    <w:rsid w:val="00691762"/>
    <w:rsid w:val="006B7D94"/>
    <w:rsid w:val="006E2ADE"/>
    <w:rsid w:val="006F0EF4"/>
    <w:rsid w:val="00720B35"/>
    <w:rsid w:val="007577AB"/>
    <w:rsid w:val="00773F9C"/>
    <w:rsid w:val="0077493A"/>
    <w:rsid w:val="007E27EC"/>
    <w:rsid w:val="007E5B8D"/>
    <w:rsid w:val="007F6575"/>
    <w:rsid w:val="008142E8"/>
    <w:rsid w:val="0082407E"/>
    <w:rsid w:val="00844DAC"/>
    <w:rsid w:val="0084710D"/>
    <w:rsid w:val="0085105A"/>
    <w:rsid w:val="0085754A"/>
    <w:rsid w:val="00866CCE"/>
    <w:rsid w:val="008C17FA"/>
    <w:rsid w:val="008E2DE1"/>
    <w:rsid w:val="009355FA"/>
    <w:rsid w:val="0096053C"/>
    <w:rsid w:val="009778BB"/>
    <w:rsid w:val="00980784"/>
    <w:rsid w:val="0098475C"/>
    <w:rsid w:val="009867F1"/>
    <w:rsid w:val="009B148D"/>
    <w:rsid w:val="009F314D"/>
    <w:rsid w:val="009F753E"/>
    <w:rsid w:val="00A03DF1"/>
    <w:rsid w:val="00A17134"/>
    <w:rsid w:val="00A801EE"/>
    <w:rsid w:val="00AB72EF"/>
    <w:rsid w:val="00AB7982"/>
    <w:rsid w:val="00B02131"/>
    <w:rsid w:val="00B133B4"/>
    <w:rsid w:val="00B7041E"/>
    <w:rsid w:val="00B73CAC"/>
    <w:rsid w:val="00B85DDB"/>
    <w:rsid w:val="00BA2783"/>
    <w:rsid w:val="00BB675A"/>
    <w:rsid w:val="00BD30BB"/>
    <w:rsid w:val="00C111A9"/>
    <w:rsid w:val="00C169DE"/>
    <w:rsid w:val="00C57DE3"/>
    <w:rsid w:val="00C869CB"/>
    <w:rsid w:val="00C9484E"/>
    <w:rsid w:val="00CA3978"/>
    <w:rsid w:val="00CA4236"/>
    <w:rsid w:val="00D0710E"/>
    <w:rsid w:val="00D3237E"/>
    <w:rsid w:val="00D62509"/>
    <w:rsid w:val="00D7602C"/>
    <w:rsid w:val="00D91433"/>
    <w:rsid w:val="00D9581A"/>
    <w:rsid w:val="00DA0168"/>
    <w:rsid w:val="00E03900"/>
    <w:rsid w:val="00E11135"/>
    <w:rsid w:val="00E1166D"/>
    <w:rsid w:val="00E36AAD"/>
    <w:rsid w:val="00E94F02"/>
    <w:rsid w:val="00EA3B19"/>
    <w:rsid w:val="00EA65B9"/>
    <w:rsid w:val="00EC26DC"/>
    <w:rsid w:val="00EE57E9"/>
    <w:rsid w:val="00F76C6F"/>
    <w:rsid w:val="00FB1E09"/>
    <w:rsid w:val="00FB6DDD"/>
    <w:rsid w:val="00FE5DD3"/>
    <w:rsid w:val="013F1246"/>
    <w:rsid w:val="01484C81"/>
    <w:rsid w:val="01B82838"/>
    <w:rsid w:val="04D836D0"/>
    <w:rsid w:val="04DE101D"/>
    <w:rsid w:val="05356534"/>
    <w:rsid w:val="062866AB"/>
    <w:rsid w:val="068A151F"/>
    <w:rsid w:val="06FF227F"/>
    <w:rsid w:val="0775008D"/>
    <w:rsid w:val="07DD21AF"/>
    <w:rsid w:val="0811193C"/>
    <w:rsid w:val="085F5D7F"/>
    <w:rsid w:val="08A8436F"/>
    <w:rsid w:val="08C933D8"/>
    <w:rsid w:val="093259F3"/>
    <w:rsid w:val="09913E17"/>
    <w:rsid w:val="0A375730"/>
    <w:rsid w:val="0B530AC9"/>
    <w:rsid w:val="0B804FD7"/>
    <w:rsid w:val="0C293915"/>
    <w:rsid w:val="0DB56976"/>
    <w:rsid w:val="0F40581B"/>
    <w:rsid w:val="10345B46"/>
    <w:rsid w:val="10C671FB"/>
    <w:rsid w:val="10E93E90"/>
    <w:rsid w:val="11826F8A"/>
    <w:rsid w:val="126F7391"/>
    <w:rsid w:val="12900B58"/>
    <w:rsid w:val="130D64A2"/>
    <w:rsid w:val="147C1B29"/>
    <w:rsid w:val="149B7734"/>
    <w:rsid w:val="16AC4E5E"/>
    <w:rsid w:val="16DE521B"/>
    <w:rsid w:val="180343EB"/>
    <w:rsid w:val="1870263E"/>
    <w:rsid w:val="18835A91"/>
    <w:rsid w:val="1F203647"/>
    <w:rsid w:val="20CC311F"/>
    <w:rsid w:val="21A31C30"/>
    <w:rsid w:val="231A3433"/>
    <w:rsid w:val="234174BA"/>
    <w:rsid w:val="245A462F"/>
    <w:rsid w:val="247C0DC3"/>
    <w:rsid w:val="24CC7E8F"/>
    <w:rsid w:val="25674CAD"/>
    <w:rsid w:val="25E237FF"/>
    <w:rsid w:val="26D75013"/>
    <w:rsid w:val="2766466B"/>
    <w:rsid w:val="27851253"/>
    <w:rsid w:val="27FC1492"/>
    <w:rsid w:val="28C234B9"/>
    <w:rsid w:val="29074326"/>
    <w:rsid w:val="29A44584"/>
    <w:rsid w:val="2A0A292C"/>
    <w:rsid w:val="2A2C02EA"/>
    <w:rsid w:val="2AF6579E"/>
    <w:rsid w:val="2B424747"/>
    <w:rsid w:val="2B8E1418"/>
    <w:rsid w:val="2C2A56DC"/>
    <w:rsid w:val="2D992BED"/>
    <w:rsid w:val="2FFA732F"/>
    <w:rsid w:val="30FD5D6F"/>
    <w:rsid w:val="31D30B55"/>
    <w:rsid w:val="32611749"/>
    <w:rsid w:val="32FC739D"/>
    <w:rsid w:val="3373180F"/>
    <w:rsid w:val="34E7513E"/>
    <w:rsid w:val="35623DE4"/>
    <w:rsid w:val="35723D4D"/>
    <w:rsid w:val="35B45C86"/>
    <w:rsid w:val="360B3381"/>
    <w:rsid w:val="3679623C"/>
    <w:rsid w:val="36FC0C18"/>
    <w:rsid w:val="374544A5"/>
    <w:rsid w:val="3763698C"/>
    <w:rsid w:val="3765282F"/>
    <w:rsid w:val="37966E9D"/>
    <w:rsid w:val="38B811F7"/>
    <w:rsid w:val="39B95BC6"/>
    <w:rsid w:val="3A644887"/>
    <w:rsid w:val="3D185B36"/>
    <w:rsid w:val="3F57025A"/>
    <w:rsid w:val="3F6F2300"/>
    <w:rsid w:val="40284A51"/>
    <w:rsid w:val="40D01A6D"/>
    <w:rsid w:val="411671AB"/>
    <w:rsid w:val="41377986"/>
    <w:rsid w:val="41615490"/>
    <w:rsid w:val="41B3224E"/>
    <w:rsid w:val="42635443"/>
    <w:rsid w:val="42802F28"/>
    <w:rsid w:val="42881B73"/>
    <w:rsid w:val="42C41CE4"/>
    <w:rsid w:val="42EC6A00"/>
    <w:rsid w:val="43964C28"/>
    <w:rsid w:val="43D752E4"/>
    <w:rsid w:val="44123161"/>
    <w:rsid w:val="46736836"/>
    <w:rsid w:val="46A462C3"/>
    <w:rsid w:val="48A10D2F"/>
    <w:rsid w:val="4B652BCD"/>
    <w:rsid w:val="4BF34932"/>
    <w:rsid w:val="4C591EF5"/>
    <w:rsid w:val="4CE332BC"/>
    <w:rsid w:val="4D8F554E"/>
    <w:rsid w:val="4F0423DC"/>
    <w:rsid w:val="4F41037F"/>
    <w:rsid w:val="4FBC5B56"/>
    <w:rsid w:val="4FBF090F"/>
    <w:rsid w:val="529C3F04"/>
    <w:rsid w:val="546D5D37"/>
    <w:rsid w:val="54F92511"/>
    <w:rsid w:val="550106AB"/>
    <w:rsid w:val="57857681"/>
    <w:rsid w:val="59385552"/>
    <w:rsid w:val="5A5844D1"/>
    <w:rsid w:val="5B127569"/>
    <w:rsid w:val="5B8337A3"/>
    <w:rsid w:val="5B9655EE"/>
    <w:rsid w:val="5CA066E2"/>
    <w:rsid w:val="5DA35E7E"/>
    <w:rsid w:val="5E517D5D"/>
    <w:rsid w:val="5F0A38BC"/>
    <w:rsid w:val="5F860125"/>
    <w:rsid w:val="602C09BE"/>
    <w:rsid w:val="60565B67"/>
    <w:rsid w:val="60B66CB8"/>
    <w:rsid w:val="61F17DCD"/>
    <w:rsid w:val="651B358E"/>
    <w:rsid w:val="651F3ADB"/>
    <w:rsid w:val="65246B24"/>
    <w:rsid w:val="653333AD"/>
    <w:rsid w:val="663D1E8A"/>
    <w:rsid w:val="66E519D9"/>
    <w:rsid w:val="67421AB3"/>
    <w:rsid w:val="674F2C34"/>
    <w:rsid w:val="6786234B"/>
    <w:rsid w:val="67921C85"/>
    <w:rsid w:val="67A105D0"/>
    <w:rsid w:val="67E53C8C"/>
    <w:rsid w:val="68A439CF"/>
    <w:rsid w:val="68B32F0E"/>
    <w:rsid w:val="6A282B5D"/>
    <w:rsid w:val="6A893829"/>
    <w:rsid w:val="6BBF57BF"/>
    <w:rsid w:val="6BDD0871"/>
    <w:rsid w:val="6DFD7E2A"/>
    <w:rsid w:val="6E1D4216"/>
    <w:rsid w:val="6EE2762C"/>
    <w:rsid w:val="6F563FF7"/>
    <w:rsid w:val="6FC17085"/>
    <w:rsid w:val="6FDB2D58"/>
    <w:rsid w:val="7116043B"/>
    <w:rsid w:val="74CB311D"/>
    <w:rsid w:val="76DB2C18"/>
    <w:rsid w:val="76F74EC0"/>
    <w:rsid w:val="77012BAA"/>
    <w:rsid w:val="77240AD1"/>
    <w:rsid w:val="77B50195"/>
    <w:rsid w:val="77FB44DB"/>
    <w:rsid w:val="784F295E"/>
    <w:rsid w:val="79582BCA"/>
    <w:rsid w:val="79AE5E4E"/>
    <w:rsid w:val="7A616B9A"/>
    <w:rsid w:val="7B89572E"/>
    <w:rsid w:val="7CE97A31"/>
    <w:rsid w:val="7FE14E5A"/>
    <w:rsid w:val="7FF743A7"/>
    <w:rsid w:val="7FFB3A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after="0"/>
      <w:ind w:firstLine="420" w:firstLineChars="100"/>
    </w:pPr>
    <w:rPr>
      <w:rFonts w:ascii="宋体" w:hAnsi="宋体" w:cs="宋体"/>
      <w:sz w:val="21"/>
      <w:lang w:val="zh-CN" w:bidi="zh-CN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cs="Times New Roman"/>
    </w:rPr>
  </w:style>
  <w:style w:type="paragraph" w:styleId="4">
    <w:name w:val="annotation text"/>
    <w:basedOn w:val="1"/>
    <w:unhideWhenUsed/>
    <w:qFormat/>
    <w:uiPriority w:val="99"/>
    <w:pPr>
      <w:jc w:val="left"/>
    </w:pPr>
  </w:style>
  <w:style w:type="paragraph" w:styleId="5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link w:val="13"/>
    <w:unhideWhenUsed/>
    <w:qFormat/>
    <w:uiPriority w:val="99"/>
    <w:pPr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character" w:styleId="11">
    <w:name w:val="Strong"/>
    <w:basedOn w:val="10"/>
    <w:qFormat/>
    <w:uiPriority w:val="0"/>
    <w:rPr>
      <w:rFonts w:cs="Times New Roman"/>
      <w:b/>
      <w:bCs/>
    </w:rPr>
  </w:style>
  <w:style w:type="character" w:styleId="12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3">
    <w:name w:val="脚注文本 Char"/>
    <w:basedOn w:val="10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批注框文本 Char"/>
    <w:basedOn w:val="10"/>
    <w:link w:val="5"/>
    <w:semiHidden/>
    <w:qFormat/>
    <w:uiPriority w:val="99"/>
    <w:rPr>
      <w:kern w:val="2"/>
      <w:sz w:val="18"/>
      <w:szCs w:val="18"/>
    </w:rPr>
  </w:style>
  <w:style w:type="character" w:customStyle="1" w:styleId="15">
    <w:name w:val="页眉 Char"/>
    <w:basedOn w:val="10"/>
    <w:link w:val="7"/>
    <w:qFormat/>
    <w:uiPriority w:val="99"/>
    <w:rPr>
      <w:rFonts w:ascii="Calibri" w:hAnsi="Calibri" w:eastAsia="宋体" w:cs="黑体"/>
      <w:kern w:val="2"/>
      <w:sz w:val="18"/>
      <w:szCs w:val="18"/>
    </w:rPr>
  </w:style>
  <w:style w:type="character" w:customStyle="1" w:styleId="16">
    <w:name w:val="页脚 Char"/>
    <w:basedOn w:val="10"/>
    <w:link w:val="6"/>
    <w:qFormat/>
    <w:uiPriority w:val="99"/>
    <w:rPr>
      <w:rFonts w:ascii="Calibri" w:hAnsi="Calibri" w:eastAsia="宋体" w:cs="黑体"/>
      <w:kern w:val="2"/>
      <w:sz w:val="18"/>
      <w:szCs w:val="18"/>
    </w:rPr>
  </w:style>
  <w:style w:type="character" w:customStyle="1" w:styleId="17">
    <w:name w:val="font2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customStyle="1" w:styleId="18">
    <w:name w:val="列出段落*"/>
    <w:basedOn w:val="1"/>
    <w:qFormat/>
    <w:uiPriority w:val="1723"/>
    <w:pPr>
      <w:ind w:firstLine="420"/>
    </w:pPr>
    <w:rPr>
      <w:kern w:val="1"/>
    </w:rPr>
  </w:style>
  <w:style w:type="paragraph" w:styleId="19">
    <w:name w:val="List Paragraph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2012dnd.com</Company>
  <Pages>10</Pages>
  <Words>3514</Words>
  <Characters>3814</Characters>
  <Lines>23</Lines>
  <Paragraphs>6</Paragraphs>
  <TotalTime>4</TotalTime>
  <ScaleCrop>false</ScaleCrop>
  <LinksUpToDate>false</LinksUpToDate>
  <CharactersWithSpaces>3847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2020-05-04T02:32:00Z</dcterms:created>
  <dc:creator>zhangyanping</dc:creator>
  <cp:lastModifiedBy>南西.</cp:lastModifiedBy>
  <cp:lastPrinted>2019-11-29T11:32:00Z</cp:lastPrinted>
  <dcterms:modified xsi:type="dcterms:W3CDTF">2025-09-15T05:59:07Z</dcterms:modified>
  <dc:title>塔城市阿不都拉乡2021年财政专项扶贫资金绩效自评总结报告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24BCDAAF10B146FD809FDFE27C77D7D5</vt:lpwstr>
  </property>
  <property fmtid="{D5CDD505-2E9C-101B-9397-08002B2CF9AE}" pid="4" name="KSOTemplateDocerSaveRecord">
    <vt:lpwstr>eyJoZGlkIjoiOWI0M2EyYTkxZjkxODQwMTg2ODNhNjZmYzEyYzNhNzEiLCJ1c2VySWQiOiI2NTU3Njk1MDkifQ==</vt:lpwstr>
  </property>
</Properties>
</file>