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360" w:lineRule="auto"/>
        <w:jc w:val="both"/>
        <w:rPr>
          <w:b/>
          <w:sz w:val="44"/>
          <w:szCs w:val="44"/>
        </w:rPr>
      </w:pPr>
      <w:bookmarkStart w:id="2" w:name="_GoBack"/>
      <w:bookmarkEnd w:id="2"/>
    </w:p>
    <w:p>
      <w:pPr>
        <w:pStyle w:val="9"/>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val="0"/>
          <w:bCs/>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val="0"/>
          <w:bCs/>
          <w:sz w:val="44"/>
          <w:szCs w:val="44"/>
        </w:rPr>
      </w:pPr>
      <w:r>
        <w:rPr>
          <w:rFonts w:hint="eastAsia"/>
          <w:b w:val="0"/>
          <w:bCs/>
          <w:sz w:val="44"/>
          <w:szCs w:val="44"/>
          <w:lang w:eastAsia="zh-CN"/>
        </w:rPr>
        <w:t>额敏县</w:t>
      </w:r>
      <w:r>
        <w:rPr>
          <w:rFonts w:hint="eastAsia"/>
          <w:b w:val="0"/>
          <w:bCs/>
          <w:sz w:val="44"/>
          <w:szCs w:val="44"/>
          <w:lang w:val="en-US" w:eastAsia="zh-CN"/>
        </w:rPr>
        <w:t>玉什喀拉苏镇</w:t>
      </w:r>
      <w:r>
        <w:rPr>
          <w:rFonts w:hint="eastAsia"/>
          <w:b w:val="0"/>
          <w:bCs/>
          <w:sz w:val="44"/>
          <w:szCs w:val="44"/>
        </w:rPr>
        <w:t>202</w:t>
      </w:r>
      <w:r>
        <w:rPr>
          <w:rFonts w:hint="eastAsia"/>
          <w:b w:val="0"/>
          <w:bCs/>
          <w:sz w:val="44"/>
          <w:szCs w:val="44"/>
          <w:lang w:val="en-US" w:eastAsia="zh-CN"/>
        </w:rPr>
        <w:t>2</w:t>
      </w:r>
      <w:r>
        <w:rPr>
          <w:rFonts w:hint="eastAsia"/>
          <w:b w:val="0"/>
          <w:bCs/>
          <w:sz w:val="44"/>
          <w:szCs w:val="44"/>
        </w:rPr>
        <w:t>年财政</w:t>
      </w:r>
      <w:r>
        <w:rPr>
          <w:rFonts w:hint="eastAsia"/>
          <w:b w:val="0"/>
          <w:bCs/>
          <w:sz w:val="44"/>
          <w:szCs w:val="44"/>
          <w:lang w:val="en-US" w:eastAsia="zh-CN"/>
        </w:rPr>
        <w:t>衔接推进乡村振兴补助</w:t>
      </w:r>
      <w:r>
        <w:rPr>
          <w:rFonts w:hint="eastAsia"/>
          <w:b w:val="0"/>
          <w:bCs/>
          <w:sz w:val="44"/>
          <w:szCs w:val="44"/>
        </w:rPr>
        <w:t>资金绩效自评总结报告</w:t>
      </w:r>
    </w:p>
    <w:p>
      <w:pPr>
        <w:pStyle w:val="9"/>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sz w:val="44"/>
          <w:szCs w:val="44"/>
        </w:rPr>
      </w:pPr>
      <w:r>
        <w:rPr>
          <w:rFonts w:hint="eastAsia"/>
          <w:sz w:val="44"/>
          <w:szCs w:val="44"/>
        </w:rPr>
        <w:t>（</w:t>
      </w:r>
      <w:r>
        <w:rPr>
          <w:sz w:val="44"/>
          <w:szCs w:val="44"/>
        </w:rPr>
        <w:t>20</w:t>
      </w:r>
      <w:r>
        <w:rPr>
          <w:rFonts w:hint="eastAsia"/>
          <w:sz w:val="44"/>
          <w:szCs w:val="44"/>
        </w:rPr>
        <w:t>2</w:t>
      </w:r>
      <w:r>
        <w:rPr>
          <w:rFonts w:hint="eastAsia"/>
          <w:sz w:val="44"/>
          <w:szCs w:val="44"/>
          <w:lang w:val="en-US" w:eastAsia="zh-CN"/>
        </w:rPr>
        <w:t>2</w:t>
      </w:r>
      <w:r>
        <w:rPr>
          <w:rFonts w:hint="eastAsia"/>
          <w:sz w:val="44"/>
          <w:szCs w:val="44"/>
        </w:rPr>
        <w:t>年度）</w:t>
      </w: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9"/>
        <w:keepNext w:val="0"/>
        <w:keepLines w:val="0"/>
        <w:pageBreakBefore w:val="0"/>
        <w:widowControl w:val="0"/>
        <w:kinsoku/>
        <w:wordWrap/>
        <w:overflowPunct/>
        <w:topLinePunct w:val="0"/>
        <w:autoSpaceDE/>
        <w:autoSpaceDN/>
        <w:bidi w:val="0"/>
        <w:adjustRightInd/>
        <w:snapToGrid w:val="0"/>
        <w:spacing w:line="600" w:lineRule="exact"/>
        <w:ind w:left="2160" w:hanging="2160" w:hangingChars="600"/>
        <w:textAlignment w:val="auto"/>
        <w:rPr>
          <w:rFonts w:hint="eastAsia" w:ascii="仿宋_GB2312" w:hAnsi="Times New Roman" w:cs="Times New Roman"/>
          <w:kern w:val="0"/>
          <w:sz w:val="32"/>
          <w:szCs w:val="32"/>
          <w:lang w:bidi="en-US"/>
        </w:rPr>
      </w:pPr>
      <w:r>
        <w:rPr>
          <w:rFonts w:hint="eastAsia"/>
          <w:sz w:val="36"/>
          <w:szCs w:val="36"/>
        </w:rPr>
        <w:t>项目名</w:t>
      </w:r>
      <w:r>
        <w:rPr>
          <w:sz w:val="36"/>
          <w:szCs w:val="36"/>
        </w:rPr>
        <w:t xml:space="preserve"> </w:t>
      </w:r>
      <w:r>
        <w:rPr>
          <w:rFonts w:hint="eastAsia"/>
          <w:sz w:val="36"/>
          <w:szCs w:val="36"/>
        </w:rPr>
        <w:t>称：</w:t>
      </w:r>
      <w:r>
        <w:rPr>
          <w:rFonts w:hint="eastAsia" w:ascii="仿宋_GB2312" w:hAnsi="Times New Roman" w:cs="Times New Roman"/>
          <w:kern w:val="0"/>
          <w:sz w:val="32"/>
          <w:szCs w:val="32"/>
          <w:lang w:bidi="en-US"/>
        </w:rPr>
        <w:t>额敏县玉什喀拉苏镇旅游基础设施（风物馆）建设</w:t>
      </w: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color w:val="0000FF"/>
          <w:sz w:val="36"/>
          <w:szCs w:val="36"/>
        </w:rPr>
      </w:pPr>
      <w:r>
        <w:rPr>
          <w:rFonts w:hint="eastAsia"/>
          <w:sz w:val="36"/>
          <w:szCs w:val="36"/>
        </w:rPr>
        <w:t>实施单位（公章）：</w:t>
      </w:r>
      <w:r>
        <w:rPr>
          <w:rFonts w:hint="eastAsia" w:ascii="仿宋_GB2312" w:hAnsi="Times New Roman" w:cs="Times New Roman"/>
          <w:kern w:val="0"/>
          <w:sz w:val="32"/>
          <w:szCs w:val="32"/>
          <w:lang w:eastAsia="zh-CN" w:bidi="en-US"/>
        </w:rPr>
        <w:t>额敏县</w:t>
      </w:r>
      <w:r>
        <w:rPr>
          <w:rFonts w:hint="eastAsia" w:ascii="仿宋_GB2312" w:hAnsi="Times New Roman" w:cs="Times New Roman"/>
          <w:kern w:val="0"/>
          <w:sz w:val="32"/>
          <w:szCs w:val="32"/>
          <w:lang w:val="en-US" w:eastAsia="zh-CN" w:bidi="en-US"/>
        </w:rPr>
        <w:t>玉什喀拉苏镇</w:t>
      </w:r>
      <w:r>
        <w:rPr>
          <w:rFonts w:hint="eastAsia" w:ascii="仿宋_GB2312" w:hAnsi="Times New Roman" w:cs="Times New Roman"/>
          <w:kern w:val="0"/>
          <w:sz w:val="32"/>
          <w:szCs w:val="32"/>
          <w:lang w:eastAsia="zh-CN" w:bidi="en-US"/>
        </w:rPr>
        <w:t>人民政府</w:t>
      </w: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color w:val="0000FF"/>
          <w:sz w:val="36"/>
          <w:szCs w:val="36"/>
          <w:lang w:val="en-US" w:eastAsia="zh-CN"/>
        </w:rPr>
      </w:pPr>
      <w:r>
        <w:rPr>
          <w:rFonts w:hint="eastAsia"/>
          <w:sz w:val="36"/>
          <w:szCs w:val="36"/>
        </w:rPr>
        <w:t>主管部门（公章）：</w:t>
      </w:r>
      <w:r>
        <w:rPr>
          <w:rFonts w:hint="eastAsia"/>
          <w:color w:val="auto"/>
          <w:sz w:val="36"/>
          <w:szCs w:val="36"/>
          <w:lang w:val="en-US" w:eastAsia="zh-CN"/>
        </w:rPr>
        <w:t>额敏县乡村振兴局</w:t>
      </w: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sz w:val="36"/>
          <w:szCs w:val="36"/>
          <w:lang w:val="en-US" w:eastAsia="zh-CN"/>
        </w:rPr>
      </w:pPr>
      <w:r>
        <w:rPr>
          <w:rFonts w:hint="eastAsia"/>
          <w:sz w:val="36"/>
          <w:szCs w:val="36"/>
        </w:rPr>
        <w:t>项目负责人（签章）：</w:t>
      </w:r>
      <w:r>
        <w:rPr>
          <w:rFonts w:hint="eastAsia"/>
          <w:sz w:val="36"/>
          <w:szCs w:val="36"/>
          <w:lang w:val="en-US" w:eastAsia="zh-CN"/>
        </w:rPr>
        <w:t>唐刚</w:t>
      </w:r>
    </w:p>
    <w:p>
      <w:pPr>
        <w:pStyle w:val="9"/>
        <w:keepNext w:val="0"/>
        <w:keepLines w:val="0"/>
        <w:pageBreakBefore w:val="0"/>
        <w:widowControl w:val="0"/>
        <w:kinsoku/>
        <w:wordWrap/>
        <w:overflowPunct/>
        <w:topLinePunct w:val="0"/>
        <w:autoSpaceDE/>
        <w:autoSpaceDN/>
        <w:bidi w:val="0"/>
        <w:adjustRightInd/>
        <w:snapToGrid w:val="0"/>
        <w:spacing w:line="600" w:lineRule="exact"/>
        <w:textAlignment w:val="auto"/>
        <w:rPr>
          <w:rFonts w:hint="default"/>
          <w:sz w:val="36"/>
          <w:szCs w:val="36"/>
          <w:lang w:val="en-US" w:eastAsia="zh-CN"/>
        </w:rPr>
      </w:pPr>
    </w:p>
    <w:p>
      <w:pPr>
        <w:pStyle w:val="9"/>
        <w:keepNext w:val="0"/>
        <w:keepLines w:val="0"/>
        <w:pageBreakBefore w:val="0"/>
        <w:widowControl w:val="0"/>
        <w:kinsoku/>
        <w:wordWrap/>
        <w:overflowPunct/>
        <w:topLinePunct w:val="0"/>
        <w:autoSpaceDE/>
        <w:autoSpaceDN/>
        <w:bidi w:val="0"/>
        <w:adjustRightInd/>
        <w:snapToGrid w:val="0"/>
        <w:spacing w:line="600" w:lineRule="exact"/>
        <w:ind w:firstLine="360" w:firstLineChars="100"/>
        <w:jc w:val="center"/>
        <w:textAlignment w:val="auto"/>
        <w:rPr>
          <w:sz w:val="36"/>
          <w:szCs w:val="36"/>
        </w:rPr>
      </w:pPr>
      <w:r>
        <w:rPr>
          <w:rFonts w:hint="eastAsia"/>
          <w:sz w:val="36"/>
          <w:szCs w:val="36"/>
        </w:rPr>
        <w:t>填报时间：202</w:t>
      </w:r>
      <w:r>
        <w:rPr>
          <w:rFonts w:hint="eastAsia"/>
          <w:sz w:val="36"/>
          <w:szCs w:val="36"/>
          <w:lang w:val="en-US" w:eastAsia="zh-CN"/>
        </w:rPr>
        <w:t>3</w:t>
      </w:r>
      <w:r>
        <w:rPr>
          <w:rFonts w:hint="eastAsia"/>
          <w:sz w:val="36"/>
          <w:szCs w:val="36"/>
        </w:rPr>
        <w:t>年</w:t>
      </w:r>
      <w:r>
        <w:rPr>
          <w:rFonts w:hint="eastAsia"/>
          <w:sz w:val="36"/>
          <w:szCs w:val="36"/>
          <w:lang w:val="en-US" w:eastAsia="zh-CN"/>
        </w:rPr>
        <w:t>3</w:t>
      </w:r>
      <w:r>
        <w:rPr>
          <w:rFonts w:hint="eastAsia"/>
          <w:sz w:val="36"/>
          <w:szCs w:val="36"/>
        </w:rPr>
        <w:t>月</w:t>
      </w:r>
      <w:r>
        <w:rPr>
          <w:rFonts w:hint="eastAsia"/>
          <w:sz w:val="36"/>
          <w:szCs w:val="36"/>
          <w:lang w:val="en-US" w:eastAsia="zh-CN"/>
        </w:rPr>
        <w:t>14</w:t>
      </w:r>
      <w:r>
        <w:rPr>
          <w:rFonts w:hint="eastAsia"/>
          <w:sz w:val="36"/>
          <w:szCs w:val="36"/>
        </w:rPr>
        <w:t>日</w:t>
      </w:r>
    </w:p>
    <w:p>
      <w:pPr>
        <w:pStyle w:val="9"/>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ascii="方正小标宋_GBK" w:hAnsi="黑体" w:eastAsia="方正小标宋_GBK" w:cs="黑体"/>
          <w:sz w:val="36"/>
          <w:szCs w:val="36"/>
        </w:rPr>
      </w:pPr>
    </w:p>
    <w:p>
      <w:pPr>
        <w:pStyle w:val="9"/>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eastAsia="zh-CN"/>
        </w:rPr>
        <w:t>额敏县</w:t>
      </w:r>
      <w:r>
        <w:rPr>
          <w:rFonts w:hint="eastAsia" w:ascii="方正小标宋_GBK" w:hAnsi="黑体" w:eastAsia="方正小标宋_GBK" w:cs="黑体"/>
          <w:sz w:val="36"/>
          <w:szCs w:val="36"/>
          <w:lang w:val="en-US" w:eastAsia="zh-CN"/>
        </w:rPr>
        <w:t>玉什喀拉苏镇</w:t>
      </w:r>
      <w:r>
        <w:rPr>
          <w:rFonts w:hint="eastAsia" w:ascii="方正小标宋_GBK" w:hAnsi="黑体" w:eastAsia="方正小标宋_GBK" w:cs="黑体"/>
          <w:sz w:val="36"/>
          <w:szCs w:val="36"/>
          <w:lang w:eastAsia="zh-CN"/>
        </w:rPr>
        <w:t>2022年财政衔接推进乡村振兴</w:t>
      </w:r>
    </w:p>
    <w:p>
      <w:pPr>
        <w:pStyle w:val="9"/>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val="en-US" w:eastAsia="zh-CN"/>
        </w:rPr>
        <w:t>补助</w:t>
      </w:r>
      <w:r>
        <w:rPr>
          <w:rFonts w:hint="eastAsia" w:ascii="方正小标宋_GBK" w:hAnsi="黑体" w:eastAsia="方正小标宋_GBK" w:cs="黑体"/>
          <w:sz w:val="36"/>
          <w:szCs w:val="36"/>
          <w:lang w:eastAsia="zh-CN"/>
        </w:rPr>
        <w:t>资金绩效自评总结报告</w:t>
      </w:r>
    </w:p>
    <w:p>
      <w:pPr>
        <w:pStyle w:val="9"/>
        <w:spacing w:line="360" w:lineRule="auto"/>
        <w:ind w:firstLine="161" w:firstLineChars="50"/>
        <w:rPr>
          <w:rFonts w:ascii="黑体" w:hAnsi="黑体" w:eastAsia="黑体" w:cs="仿宋_GB2312"/>
          <w:b/>
          <w:sz w:val="32"/>
          <w:szCs w:val="32"/>
        </w:rPr>
      </w:pPr>
      <w:r>
        <w:rPr>
          <w:rFonts w:hint="eastAsia" w:ascii="黑体" w:hAnsi="黑体" w:eastAsia="黑体" w:cs="仿宋_GB2312"/>
          <w:b/>
          <w:sz w:val="32"/>
          <w:szCs w:val="32"/>
        </w:rPr>
        <w:t>一、绩效目标分解下达情况</w:t>
      </w:r>
    </w:p>
    <w:p>
      <w:pPr>
        <w:pStyle w:val="9"/>
        <w:spacing w:line="360" w:lineRule="auto"/>
        <w:ind w:firstLine="643" w:firstLineChars="200"/>
        <w:rPr>
          <w:rFonts w:ascii="黑体" w:hAnsi="黑体" w:eastAsia="黑体"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b/>
          <w:sz w:val="32"/>
          <w:szCs w:val="32"/>
          <w:lang w:eastAsia="zh-CN"/>
        </w:rPr>
        <w:t>财政衔接推进乡村振兴</w:t>
      </w:r>
      <w:r>
        <w:rPr>
          <w:rFonts w:hint="eastAsia" w:ascii="仿宋_GB2312" w:hAnsi="仿宋_GB2312" w:eastAsia="仿宋_GB2312" w:cs="仿宋_GB2312"/>
          <w:b/>
          <w:sz w:val="32"/>
          <w:szCs w:val="32"/>
          <w:lang w:val="en-US" w:eastAsia="zh-CN"/>
        </w:rPr>
        <w:t>补助</w:t>
      </w:r>
      <w:r>
        <w:rPr>
          <w:rFonts w:hint="eastAsia" w:ascii="仿宋_GB2312" w:hAnsi="仿宋_GB2312" w:eastAsia="仿宋_GB2312" w:cs="仿宋_GB2312"/>
          <w:b/>
          <w:sz w:val="32"/>
          <w:szCs w:val="32"/>
          <w:lang w:eastAsia="zh-CN"/>
        </w:rPr>
        <w:t>资金</w:t>
      </w:r>
      <w:r>
        <w:rPr>
          <w:rFonts w:hint="eastAsia" w:ascii="仿宋_GB2312" w:hAnsi="仿宋_GB2312" w:eastAsia="仿宋_GB2312" w:cs="仿宋_GB2312"/>
          <w:b/>
          <w:sz w:val="32"/>
          <w:szCs w:val="32"/>
        </w:rPr>
        <w:t>下达预算及项目情况</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9"/>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万元。全部为中央</w:t>
      </w:r>
      <w:r>
        <w:rPr>
          <w:rFonts w:hint="eastAsia" w:ascii="仿宋_GB2312" w:hAnsi="仿宋_GB2312" w:eastAsia="仿宋_GB2312" w:cs="仿宋_GB2312"/>
          <w:sz w:val="32"/>
          <w:szCs w:val="32"/>
          <w:lang w:val="en-US" w:eastAsia="zh-CN"/>
        </w:rPr>
        <w:t>(自治区）</w:t>
      </w:r>
      <w:r>
        <w:rPr>
          <w:rFonts w:hint="eastAsia" w:ascii="仿宋_GB2312" w:hAnsi="仿宋_GB2312" w:eastAsia="仿宋_GB2312" w:cs="仿宋_GB2312"/>
          <w:sz w:val="32"/>
          <w:szCs w:val="32"/>
        </w:rPr>
        <w:t>财政衔接推进乡村振兴补助资金，具体如下：</w:t>
      </w:r>
    </w:p>
    <w:p>
      <w:pPr>
        <w:pStyle w:val="9"/>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塔城</w:t>
      </w:r>
      <w:r>
        <w:rPr>
          <w:rFonts w:hint="eastAsia" w:ascii="仿宋_GB2312" w:hAnsi="仿宋_GB2312" w:eastAsia="仿宋_GB2312" w:cs="仿宋_GB2312"/>
          <w:color w:val="auto"/>
          <w:sz w:val="32"/>
          <w:szCs w:val="32"/>
          <w:lang w:eastAsia="zh-CN"/>
        </w:rPr>
        <w:t>地区</w:t>
      </w:r>
      <w:r>
        <w:rPr>
          <w:rFonts w:hint="eastAsia" w:ascii="仿宋_GB2312" w:hAnsi="仿宋_GB2312" w:eastAsia="仿宋_GB2312" w:cs="仿宋_GB2312"/>
          <w:color w:val="auto"/>
          <w:sz w:val="32"/>
          <w:szCs w:val="32"/>
        </w:rPr>
        <w:t>财政局《</w:t>
      </w:r>
      <w:r>
        <w:rPr>
          <w:rFonts w:hint="eastAsia" w:ascii="仿宋_GB2312" w:hAnsi="仿宋_GB2312" w:eastAsia="仿宋_GB2312" w:cs="仿宋_GB2312"/>
          <w:color w:val="auto"/>
          <w:sz w:val="32"/>
          <w:szCs w:val="32"/>
          <w:lang w:val="en-US" w:eastAsia="zh-CN"/>
        </w:rPr>
        <w:t>提前</w:t>
      </w:r>
      <w:r>
        <w:rPr>
          <w:rFonts w:hint="eastAsia" w:ascii="仿宋_GB2312" w:hAnsi="仿宋_GB2312" w:eastAsia="仿宋_GB2312" w:cs="仿宋_GB2312"/>
          <w:color w:val="auto"/>
          <w:sz w:val="32"/>
          <w:szCs w:val="32"/>
          <w:lang w:eastAsia="zh-CN"/>
        </w:rPr>
        <w:t>下达202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中央财政衔接推进乡村振兴补助资金预算的通知</w:t>
      </w:r>
      <w:r>
        <w:rPr>
          <w:rFonts w:hint="eastAsia" w:ascii="仿宋_GB2312" w:hAnsi="仿宋_GB2312" w:eastAsia="仿宋_GB2312" w:cs="仿宋_GB2312"/>
          <w:color w:val="auto"/>
          <w:sz w:val="32"/>
          <w:szCs w:val="32"/>
        </w:rPr>
        <w:t>》（塔地财扶［</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号）下达</w:t>
      </w:r>
      <w:r>
        <w:rPr>
          <w:rFonts w:hint="eastAsia" w:ascii="仿宋_GB2312" w:hAnsi="仿宋_GB2312" w:eastAsia="仿宋_GB2312" w:cs="仿宋_GB2312"/>
          <w:color w:val="auto"/>
          <w:sz w:val="32"/>
          <w:szCs w:val="32"/>
          <w:lang w:val="en-US" w:eastAsia="zh-CN"/>
        </w:rPr>
        <w:t>中央财政衔接推进乡村振兴补助资金200</w:t>
      </w:r>
      <w:r>
        <w:rPr>
          <w:rFonts w:hint="eastAsia" w:ascii="仿宋_GB2312" w:hAnsi="仿宋_GB2312" w:eastAsia="仿宋_GB2312" w:cs="仿宋_GB2312"/>
          <w:color w:val="auto"/>
          <w:sz w:val="32"/>
          <w:szCs w:val="32"/>
        </w:rPr>
        <w:t>万元；</w:t>
      </w:r>
    </w:p>
    <w:p>
      <w:pPr>
        <w:pStyle w:val="9"/>
        <w:numPr>
          <w:ilvl w:val="0"/>
          <w:numId w:val="1"/>
        </w:num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项目情况</w:t>
      </w:r>
    </w:p>
    <w:p>
      <w:pPr>
        <w:pStyle w:val="9"/>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w:t>
      </w:r>
      <w:r>
        <w:rPr>
          <w:rFonts w:hint="eastAsia" w:ascii="仿宋_GB2312" w:hAnsi="仿宋_GB2312" w:eastAsia="仿宋_GB2312" w:cs="仿宋_GB2312"/>
          <w:sz w:val="32"/>
          <w:szCs w:val="32"/>
          <w:lang w:eastAsia="zh-CN"/>
        </w:rPr>
        <w:t>对额敏县玉什喀拉苏镇旅游基础设施（风物馆）建设项目</w:t>
      </w:r>
      <w:r>
        <w:rPr>
          <w:rFonts w:hint="eastAsia" w:ascii="仿宋_GB2312" w:hAnsi="仿宋_GB2312" w:eastAsia="仿宋_GB2312" w:cs="仿宋_GB2312"/>
          <w:sz w:val="32"/>
          <w:szCs w:val="32"/>
        </w:rPr>
        <w:t>申报绩效目标。</w:t>
      </w:r>
    </w:p>
    <w:p>
      <w:pPr>
        <w:pStyle w:val="9"/>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具体情况如下：</w:t>
      </w:r>
    </w:p>
    <w:p>
      <w:pPr>
        <w:pStyle w:val="9"/>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eastAsia="zh-CN"/>
        </w:rPr>
        <w:t>额敏县</w:t>
      </w:r>
      <w:r>
        <w:rPr>
          <w:rFonts w:hint="eastAsia" w:ascii="仿宋_GB2312" w:hAnsi="仿宋_GB2312" w:eastAsia="仿宋_GB2312" w:cs="仿宋_GB2312"/>
          <w:sz w:val="32"/>
          <w:szCs w:val="32"/>
          <w:lang w:val="en-US" w:eastAsia="zh-CN"/>
        </w:rPr>
        <w:t>乡村振兴领导小组</w:t>
      </w:r>
      <w:r>
        <w:rPr>
          <w:rFonts w:hint="eastAsia" w:ascii="仿宋_GB2312" w:hAnsi="仿宋_GB2312" w:eastAsia="仿宋_GB2312" w:cs="仿宋_GB2312"/>
          <w:sz w:val="32"/>
          <w:szCs w:val="32"/>
        </w:rPr>
        <w:t>下发的</w:t>
      </w: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eastAsia="zh-CN"/>
        </w:rPr>
        <w:t>额敏县</w:t>
      </w:r>
      <w:r>
        <w:rPr>
          <w:rFonts w:hint="eastAsia" w:ascii="仿宋_GB2312" w:hAnsi="仿宋_GB2312" w:eastAsia="仿宋_GB2312" w:cs="仿宋_GB2312"/>
          <w:sz w:val="32"/>
          <w:szCs w:val="32"/>
          <w:lang w:val="en-US" w:eastAsia="zh-CN"/>
        </w:rPr>
        <w:t>乡村振兴领导小组</w:t>
      </w:r>
      <w:r>
        <w:rPr>
          <w:rFonts w:hint="eastAsia" w:ascii="仿宋_GB2312" w:hAnsi="仿宋_GB2312" w:eastAsia="仿宋_GB2312" w:cs="仿宋_GB2312"/>
          <w:sz w:val="32"/>
          <w:szCs w:val="32"/>
        </w:rPr>
        <w:t>下发的《</w:t>
      </w:r>
      <w:r>
        <w:rPr>
          <w:rFonts w:hint="eastAsia" w:ascii="仿宋_GB2312" w:hAnsi="仿宋_GB2312" w:eastAsia="仿宋_GB2312" w:cs="仿宋_GB2312"/>
          <w:sz w:val="32"/>
          <w:szCs w:val="32"/>
          <w:lang w:val="en-US" w:eastAsia="zh-CN"/>
        </w:rPr>
        <w:t>关于</w:t>
      </w:r>
      <w:r>
        <w:rPr>
          <w:rFonts w:hint="eastAsia" w:ascii="仿宋_GB2312" w:hAnsi="仿宋_GB2312" w:eastAsia="仿宋_GB2312" w:cs="仿宋_GB2312"/>
          <w:sz w:val="32"/>
          <w:szCs w:val="32"/>
        </w:rPr>
        <w:t>额敏县玉什喀拉苏镇旅游基础设施（风物馆）建设</w:t>
      </w:r>
      <w:r>
        <w:rPr>
          <w:rFonts w:hint="eastAsia" w:ascii="仿宋_GB2312" w:hAnsi="仿宋_GB2312" w:eastAsia="仿宋_GB2312" w:cs="仿宋_GB2312"/>
          <w:sz w:val="32"/>
          <w:szCs w:val="32"/>
          <w:lang w:val="en-US" w:eastAsia="zh-CN"/>
        </w:rPr>
        <w:t>立项的批复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（额乡振局发【2022】31号）文件</w:t>
      </w:r>
      <w:r>
        <w:rPr>
          <w:rFonts w:hint="eastAsia" w:ascii="仿宋_GB2312" w:hAnsi="仿宋_GB2312" w:eastAsia="仿宋_GB2312" w:cs="仿宋_GB2312"/>
          <w:color w:val="auto"/>
          <w:sz w:val="32"/>
          <w:szCs w:val="32"/>
          <w:lang w:val="en-US" w:eastAsia="zh-CN"/>
        </w:rPr>
        <w:t>，建设</w:t>
      </w:r>
      <w:r>
        <w:rPr>
          <w:rFonts w:hint="eastAsia" w:ascii="仿宋_GB2312" w:hAnsi="仿宋_GB2312" w:eastAsia="仿宋_GB2312" w:cs="仿宋_GB2312"/>
          <w:sz w:val="32"/>
          <w:szCs w:val="32"/>
        </w:rPr>
        <w:t>内容如下：</w:t>
      </w:r>
    </w:p>
    <w:p>
      <w:pPr>
        <w:pStyle w:val="9"/>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项目总投资：</w:t>
      </w:r>
      <w:r>
        <w:rPr>
          <w:rFonts w:hint="eastAsia" w:ascii="仿宋_GB2312" w:hAnsi="仿宋_GB2312" w:eastAsia="仿宋_GB2312" w:cs="仿宋_GB2312"/>
          <w:color w:val="auto"/>
          <w:sz w:val="32"/>
          <w:szCs w:val="32"/>
          <w:lang w:val="en-US" w:eastAsia="zh-CN"/>
        </w:rPr>
        <w:t>200</w:t>
      </w:r>
      <w:r>
        <w:rPr>
          <w:rFonts w:hint="eastAsia" w:ascii="仿宋_GB2312" w:hAnsi="仿宋_GB2312" w:eastAsia="仿宋_GB2312" w:cs="仿宋_GB2312"/>
          <w:sz w:val="32"/>
          <w:szCs w:val="32"/>
        </w:rPr>
        <w:t>万元。</w:t>
      </w:r>
    </w:p>
    <w:p>
      <w:pPr>
        <w:pStyle w:val="9"/>
        <w:spacing w:line="360" w:lineRule="auto"/>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主要建设内容：计划采购风物馆室内电器设备一套、给排水、采暖、通风、消防工程等配套设施；地面硬化637.48平方米、室外渗水坑2座及配套附属设施。通过项目实施可以改善景区旅游环境、提升旅游品质，推动旅游业发展，带动当地创业和收益。</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仿宋_GB2312" w:hAnsi="仿宋_GB2312" w:eastAsia="仿宋_GB2312" w:cs="仿宋_GB2312"/>
          <w:b/>
          <w:sz w:val="32"/>
          <w:szCs w:val="32"/>
          <w:lang w:eastAsia="zh-CN"/>
        </w:rPr>
        <w:t>财政衔接推进乡村振兴补助资金</w:t>
      </w:r>
      <w:r>
        <w:rPr>
          <w:rFonts w:hint="eastAsia" w:ascii="仿宋_GB2312" w:hAnsi="仿宋_GB2312" w:eastAsia="仿宋_GB2312" w:cs="仿宋_GB2312"/>
          <w:b/>
          <w:sz w:val="32"/>
          <w:szCs w:val="32"/>
        </w:rPr>
        <w:t>项目绩效目标设定情况</w:t>
      </w:r>
    </w:p>
    <w:p>
      <w:pPr>
        <w:pStyle w:val="9"/>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w:t>
      </w:r>
      <w:r>
        <w:rPr>
          <w:rFonts w:hint="eastAsia" w:ascii="仿宋_GB2312" w:hAnsi="仿宋_GB2312" w:eastAsia="仿宋_GB2312" w:cs="仿宋_GB2312"/>
          <w:sz w:val="32"/>
          <w:szCs w:val="32"/>
          <w:lang w:eastAsia="zh-CN"/>
        </w:rPr>
        <w:t>对额敏县玉什喀拉苏镇旅游基础设施（风物馆）建设项目</w:t>
      </w:r>
      <w:r>
        <w:rPr>
          <w:rFonts w:hint="eastAsia" w:ascii="仿宋_GB2312" w:hAnsi="仿宋_GB2312" w:eastAsia="仿宋_GB2312" w:cs="仿宋_GB2312"/>
          <w:sz w:val="32"/>
          <w:szCs w:val="32"/>
        </w:rPr>
        <w:t>申报绩效目标。项目绩效总体目标设定如下：</w:t>
      </w:r>
    </w:p>
    <w:p>
      <w:pPr>
        <w:pStyle w:val="9"/>
        <w:spacing w:line="360" w:lineRule="auto"/>
        <w:ind w:firstLine="640" w:firstLineChars="200"/>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rPr>
        <w:t>采购风物馆室内电器设备一套、给排水、采暖、通风、消防工程等配套设施；地面硬化637.48平方米、室外渗水坑2座及配套附属设施。</w:t>
      </w:r>
      <w:r>
        <w:rPr>
          <w:rFonts w:hint="eastAsia" w:ascii="仿宋_GB2312" w:hAnsi="仿宋_GB2312" w:eastAsia="仿宋_GB2312" w:cs="仿宋_GB2312"/>
          <w:b w:val="0"/>
          <w:i w:val="0"/>
          <w:caps w:val="0"/>
          <w:spacing w:val="0"/>
          <w:w w:val="100"/>
          <w:sz w:val="32"/>
          <w:szCs w:val="32"/>
          <w:lang w:val="en-US" w:eastAsia="zh-CN"/>
        </w:rPr>
        <w:t>通过项目实施可以改善景区旅游环境、提升旅游品质，推动旅游业发展，带动当地创业和收益。</w:t>
      </w:r>
    </w:p>
    <w:p>
      <w:pPr>
        <w:pStyle w:val="9"/>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（2）具体绩效指标见下表：</w:t>
      </w:r>
    </w:p>
    <w:tbl>
      <w:tblPr>
        <w:tblStyle w:val="12"/>
        <w:tblW w:w="79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70"/>
        <w:gridCol w:w="799"/>
        <w:gridCol w:w="1207"/>
        <w:gridCol w:w="1987"/>
        <w:gridCol w:w="1322"/>
        <w:gridCol w:w="113"/>
        <w:gridCol w:w="17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0" w:hRule="atLeast"/>
        </w:trPr>
        <w:tc>
          <w:tcPr>
            <w:tcW w:w="7945" w:type="dxa"/>
            <w:gridSpan w:val="7"/>
            <w:tcBorders>
              <w:top w:val="nil"/>
              <w:left w:val="nil"/>
              <w:bottom w:val="nil"/>
              <w:right w:val="nil"/>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945" w:type="dxa"/>
            <w:gridSpan w:val="7"/>
            <w:tcBorders>
              <w:top w:val="nil"/>
              <w:left w:val="nil"/>
              <w:bottom w:val="single" w:color="000000" w:sz="4" w:space="0"/>
              <w:right w:val="nil"/>
            </w:tcBorders>
            <w:shd w:val="clear" w:color="auto" w:fill="FFFFFF"/>
            <w:tcMar>
              <w:top w:w="12" w:type="dxa"/>
              <w:left w:w="12" w:type="dxa"/>
              <w:right w:w="12" w:type="dxa"/>
            </w:tcMar>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56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项目名称</w:t>
            </w:r>
          </w:p>
        </w:tc>
        <w:tc>
          <w:tcPr>
            <w:tcW w:w="3194"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额敏县玉什喀拉苏镇旅游基础设施（风物馆）建设</w:t>
            </w:r>
          </w:p>
        </w:tc>
        <w:tc>
          <w:tcPr>
            <w:tcW w:w="132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项目负责人及电话</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唐刚 13999485268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1569"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主管部门</w:t>
            </w:r>
          </w:p>
        </w:tc>
        <w:tc>
          <w:tcPr>
            <w:tcW w:w="3194"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额敏县乡村振兴局</w:t>
            </w:r>
          </w:p>
        </w:tc>
        <w:tc>
          <w:tcPr>
            <w:tcW w:w="132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实施单位</w:t>
            </w:r>
          </w:p>
        </w:tc>
        <w:tc>
          <w:tcPr>
            <w:tcW w:w="1860"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玉什喀拉苏镇人民政府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156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资金情况</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（万元）</w:t>
            </w:r>
          </w:p>
        </w:tc>
        <w:tc>
          <w:tcPr>
            <w:tcW w:w="3194"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年度资金总额：</w:t>
            </w:r>
          </w:p>
        </w:tc>
        <w:tc>
          <w:tcPr>
            <w:tcW w:w="318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15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3194"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 xml:space="preserve">       其中：财政拨款</w:t>
            </w:r>
          </w:p>
        </w:tc>
        <w:tc>
          <w:tcPr>
            <w:tcW w:w="318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56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3194"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 xml:space="preserve">             其他资金</w:t>
            </w:r>
          </w:p>
        </w:tc>
        <w:tc>
          <w:tcPr>
            <w:tcW w:w="318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总</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体</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目</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标</w:t>
            </w:r>
          </w:p>
        </w:tc>
        <w:tc>
          <w:tcPr>
            <w:tcW w:w="7175" w:type="dxa"/>
            <w:gridSpan w:val="6"/>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20"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175" w:type="dxa"/>
            <w:gridSpan w:val="6"/>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计划采购风物馆室内电器设备一套、给排水、采暖、通风、消防工程等配套设施；地面硬化637.48平方米、室外渗水坑2座及配套附属设施。通过项目实施可以改善景区旅游环境、提升旅游品质，推动旅游业发展，带动当地创业和收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770" w:type="dxa"/>
            <w:vMerge w:val="restart"/>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绩</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效</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指</w:t>
            </w:r>
            <w:r>
              <w:rPr>
                <w:rFonts w:hint="eastAsia" w:ascii="宋体" w:hAnsi="宋体" w:eastAsia="宋体" w:cs="宋体"/>
                <w:b/>
                <w:i w:val="0"/>
                <w:color w:val="000000"/>
                <w:kern w:val="0"/>
                <w:sz w:val="24"/>
                <w:szCs w:val="24"/>
                <w:u w:val="none"/>
                <w:lang w:val="en-US" w:eastAsia="zh-CN"/>
              </w:rPr>
              <w:br w:type="textWrapping"/>
            </w:r>
            <w:r>
              <w:rPr>
                <w:rFonts w:hint="eastAsia" w:ascii="宋体" w:hAnsi="宋体" w:eastAsia="宋体" w:cs="宋体"/>
                <w:b/>
                <w:i w:val="0"/>
                <w:color w:val="000000"/>
                <w:kern w:val="0"/>
                <w:sz w:val="24"/>
                <w:szCs w:val="24"/>
                <w:u w:val="none"/>
                <w:lang w:val="en-US" w:eastAsia="zh-CN"/>
              </w:rPr>
              <w:t>标</w:t>
            </w:r>
          </w:p>
        </w:tc>
        <w:tc>
          <w:tcPr>
            <w:tcW w:w="79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一级指标</w:t>
            </w:r>
          </w:p>
        </w:tc>
        <w:tc>
          <w:tcPr>
            <w:tcW w:w="120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二级指标</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rPr>
              <w:t>三级指标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cs="宋体"/>
                <w:b/>
                <w:i w:val="0"/>
                <w:color w:val="000000"/>
                <w:kern w:val="0"/>
                <w:sz w:val="24"/>
                <w:szCs w:val="24"/>
                <w:u w:val="none"/>
                <w:lang w:val="en-US" w:eastAsia="zh-CN"/>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restar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产出指标</w:t>
            </w:r>
          </w:p>
        </w:tc>
        <w:tc>
          <w:tcPr>
            <w:tcW w:w="1207" w:type="dxa"/>
            <w:vMerge w:val="restart"/>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数量指标</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电器设备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地面铺设</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=637.48平方米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室外渗水坑</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质量指标</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项目（工程）验收合格率</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时效指标</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计划开工时间</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计划完工时间</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2022年7月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计划竣工验收时间</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2022年7月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成本指标</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电器设备及配套设施成本</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≤90万元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室外渗水坑</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地面硬化成本</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restart"/>
            <w:tcBorders>
              <w:top w:val="nil"/>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效益指标</w:t>
            </w:r>
          </w:p>
        </w:tc>
        <w:tc>
          <w:tcPr>
            <w:tcW w:w="1207" w:type="dxa"/>
            <w:vMerge w:val="restart"/>
            <w:tcBorders>
              <w:top w:val="nil"/>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社会效益</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受益脱贫户数</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≥100户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nil"/>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vMerge w:val="continue"/>
            <w:tcBorders>
              <w:top w:val="nil"/>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项目覆盖村个数</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nil"/>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生态效益</w:t>
            </w:r>
            <w:r>
              <w:rPr>
                <w:rFonts w:hint="eastAsia" w:ascii="宋体" w:hAnsi="宋体" w:eastAsia="宋体" w:cs="宋体"/>
                <w:i w:val="0"/>
                <w:color w:val="000000"/>
                <w:kern w:val="0"/>
                <w:sz w:val="24"/>
                <w:szCs w:val="24"/>
                <w:u w:val="none"/>
                <w:lang w:val="en-US" w:eastAsia="zh-CN"/>
              </w:rPr>
              <w:br w:type="textWrapping"/>
            </w:r>
            <w:r>
              <w:rPr>
                <w:rFonts w:hint="eastAsia" w:ascii="宋体" w:hAnsi="宋体" w:eastAsia="宋体" w:cs="宋体"/>
                <w:i w:val="0"/>
                <w:color w:val="000000"/>
                <w:kern w:val="0"/>
                <w:sz w:val="24"/>
                <w:szCs w:val="24"/>
                <w:u w:val="none"/>
                <w:lang w:val="en-US" w:eastAsia="zh-CN"/>
              </w:rPr>
              <w:t>指标</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提升景区旅游环境、提升旅游品质</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有所提升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nil"/>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可持续影响</w:t>
            </w:r>
            <w:r>
              <w:rPr>
                <w:rFonts w:hint="eastAsia" w:ascii="宋体" w:hAnsi="宋体" w:eastAsia="宋体" w:cs="宋体"/>
                <w:i w:val="0"/>
                <w:color w:val="000000"/>
                <w:kern w:val="0"/>
                <w:sz w:val="24"/>
                <w:szCs w:val="24"/>
                <w:u w:val="none"/>
                <w:lang w:val="en-US" w:eastAsia="zh-CN"/>
              </w:rPr>
              <w:br w:type="textWrapping"/>
            </w:r>
            <w:r>
              <w:rPr>
                <w:rFonts w:hint="eastAsia" w:ascii="宋体" w:hAnsi="宋体" w:eastAsia="宋体" w:cs="宋体"/>
                <w:i w:val="0"/>
                <w:color w:val="000000"/>
                <w:kern w:val="0"/>
                <w:sz w:val="24"/>
                <w:szCs w:val="24"/>
                <w:u w:val="none"/>
                <w:lang w:val="en-US" w:eastAsia="zh-CN"/>
              </w:rPr>
              <w:t>指标</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项目使用年限</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vMerge w:val="continue"/>
            <w:tcBorders>
              <w:top w:val="nil"/>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0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经济效益指标</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left"/>
              <w:rPr>
                <w:rFonts w:hint="eastAsia" w:ascii="宋体" w:hAnsi="宋体" w:eastAsia="宋体" w:cs="宋体"/>
                <w:i w:val="0"/>
                <w:color w:val="000000"/>
                <w:sz w:val="24"/>
                <w:szCs w:val="24"/>
                <w:u w:val="none"/>
              </w:rPr>
            </w:pP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770" w:type="dxa"/>
            <w:vMerge w:val="continue"/>
            <w:tcBorders>
              <w:top w:val="single" w:color="000000" w:sz="4" w:space="0"/>
              <w:left w:val="single" w:color="000000" w:sz="4" w:space="0"/>
              <w:bottom w:val="nil"/>
              <w:right w:val="single" w:color="000000" w:sz="4" w:space="0"/>
            </w:tcBorders>
            <w:shd w:val="clear" w:color="auto" w:fill="FFFFFF"/>
            <w:tcMar>
              <w:top w:w="12" w:type="dxa"/>
              <w:left w:w="12" w:type="dxa"/>
              <w:right w:w="12" w:type="dxa"/>
            </w:tcMar>
            <w:vAlign w:val="center"/>
          </w:tcPr>
          <w:p>
            <w:pPr>
              <w:jc w:val="center"/>
              <w:rPr>
                <w:rFonts w:hint="eastAsia" w:ascii="宋体" w:hAnsi="宋体" w:eastAsia="宋体" w:cs="宋体"/>
                <w:b/>
                <w:i w:val="0"/>
                <w:color w:val="000000"/>
                <w:sz w:val="24"/>
                <w:szCs w:val="24"/>
                <w:u w:val="none"/>
              </w:rPr>
            </w:pPr>
          </w:p>
        </w:tc>
        <w:tc>
          <w:tcPr>
            <w:tcW w:w="79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满意度指标</w:t>
            </w:r>
          </w:p>
        </w:tc>
        <w:tc>
          <w:tcPr>
            <w:tcW w:w="120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2"/>
                <w:szCs w:val="22"/>
                <w:u w:val="none"/>
                <w:lang w:val="en-US" w:eastAsia="zh-CN"/>
              </w:rPr>
              <w:t>服务对象</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满意度指</w:t>
            </w:r>
            <w:r>
              <w:rPr>
                <w:rFonts w:hint="eastAsia" w:ascii="宋体" w:hAnsi="宋体" w:cs="宋体"/>
                <w:i w:val="0"/>
                <w:color w:val="000000"/>
                <w:kern w:val="0"/>
                <w:sz w:val="22"/>
                <w:szCs w:val="22"/>
                <w:u w:val="none"/>
                <w:lang w:val="en-US" w:eastAsia="zh-CN"/>
              </w:rPr>
              <w:t>表</w:t>
            </w:r>
          </w:p>
        </w:tc>
        <w:tc>
          <w:tcPr>
            <w:tcW w:w="3422"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受益脱贫人口满意度</w:t>
            </w:r>
          </w:p>
        </w:tc>
        <w:tc>
          <w:tcPr>
            <w:tcW w:w="174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≥95%</w:t>
            </w:r>
          </w:p>
        </w:tc>
      </w:tr>
    </w:tbl>
    <w:p>
      <w:pPr>
        <w:pStyle w:val="9"/>
        <w:spacing w:line="360" w:lineRule="auto"/>
        <w:rPr>
          <w:rFonts w:ascii="仿宋_GB2312" w:hAnsi="仿宋_GB2312" w:eastAsia="仿宋_GB2312" w:cs="仿宋_GB2312"/>
          <w:sz w:val="32"/>
          <w:szCs w:val="32"/>
        </w:rPr>
      </w:pPr>
    </w:p>
    <w:p>
      <w:pPr>
        <w:pStyle w:val="9"/>
        <w:spacing w:line="360" w:lineRule="auto"/>
        <w:rPr>
          <w:rFonts w:ascii="黑体" w:hAnsi="黑体" w:eastAsia="黑体" w:cs="仿宋_GB2312"/>
          <w:b/>
          <w:sz w:val="32"/>
          <w:szCs w:val="32"/>
        </w:rPr>
      </w:pPr>
      <w:r>
        <w:rPr>
          <w:rFonts w:hint="eastAsia" w:ascii="黑体" w:hAnsi="黑体" w:eastAsia="黑体" w:cs="仿宋_GB2312"/>
          <w:b/>
          <w:sz w:val="32"/>
          <w:szCs w:val="32"/>
          <w:lang w:val="en-US" w:eastAsia="zh-CN"/>
        </w:rPr>
        <w:t>二</w:t>
      </w:r>
      <w:r>
        <w:rPr>
          <w:rFonts w:hint="eastAsia" w:ascii="黑体" w:hAnsi="黑体" w:eastAsia="黑体" w:cs="仿宋_GB2312"/>
          <w:b/>
          <w:sz w:val="32"/>
          <w:szCs w:val="32"/>
        </w:rPr>
        <w:t>、绩效自评工作开展情况</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9"/>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auto"/>
          <w:sz w:val="32"/>
          <w:szCs w:val="32"/>
          <w:lang w:val="en-US" w:eastAsia="zh-CN"/>
        </w:rPr>
        <w:t>200万</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（二）自评工作开展对象</w:t>
      </w:r>
    </w:p>
    <w:p>
      <w:pPr>
        <w:pStyle w:val="9"/>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w:t>
      </w:r>
      <w:r>
        <w:rPr>
          <w:rFonts w:hint="eastAsia" w:ascii="仿宋_GB2312" w:hAnsi="仿宋_GB2312" w:eastAsia="仿宋_GB2312" w:cs="仿宋_GB2312"/>
          <w:bCs/>
          <w:color w:val="auto"/>
          <w:sz w:val="32"/>
          <w:szCs w:val="32"/>
        </w:rPr>
        <w:t>《国务院办公厅关于转发&lt;财政部、国务院扶贫办、国家发展改革委扶贫项目资金绩效管理办法&gt;的通知》（国办发〔2018〕35号）和《</w:t>
      </w:r>
      <w:r>
        <w:rPr>
          <w:rFonts w:hint="eastAsia" w:ascii="仿宋_GB2312" w:hAnsi="仿宋_GB2312" w:eastAsia="仿宋_GB2312" w:cs="仿宋_GB2312"/>
          <w:bCs/>
          <w:color w:val="auto"/>
          <w:sz w:val="32"/>
          <w:szCs w:val="32"/>
          <w:lang w:val="en-US" w:eastAsia="zh-CN"/>
        </w:rPr>
        <w:t>中央财政衔接推进乡村振兴补助资金管理办法</w:t>
      </w:r>
      <w:r>
        <w:rPr>
          <w:rFonts w:hint="eastAsia" w:ascii="仿宋_GB2312" w:hAnsi="仿宋_GB2312" w:eastAsia="仿宋_GB2312" w:cs="仿宋_GB2312"/>
          <w:bCs/>
          <w:color w:val="auto"/>
          <w:sz w:val="32"/>
          <w:szCs w:val="32"/>
        </w:rPr>
        <w:t>》（财</w:t>
      </w:r>
      <w:r>
        <w:rPr>
          <w:rFonts w:hint="eastAsia" w:ascii="仿宋_GB2312" w:hAnsi="仿宋_GB2312" w:eastAsia="仿宋_GB2312" w:cs="仿宋_GB2312"/>
          <w:bCs/>
          <w:color w:val="auto"/>
          <w:sz w:val="32"/>
          <w:szCs w:val="32"/>
          <w:lang w:val="en-US" w:eastAsia="zh-CN"/>
        </w:rPr>
        <w:t>农</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2021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19</w:t>
      </w:r>
      <w:r>
        <w:rPr>
          <w:rFonts w:hint="eastAsia" w:ascii="仿宋_GB2312" w:hAnsi="仿宋_GB2312" w:eastAsia="仿宋_GB2312" w:cs="仿宋_GB2312"/>
          <w:bCs/>
          <w:color w:val="auto"/>
          <w:sz w:val="32"/>
          <w:szCs w:val="32"/>
        </w:rPr>
        <w:t>）等文件精神，及《新疆维吾尔自治区县级扶贫项目资金绩效管理操作指南（试行）》</w:t>
      </w:r>
      <w:r>
        <w:rPr>
          <w:rFonts w:hint="eastAsia" w:ascii="仿宋_GB2312" w:hAnsi="仿宋_GB2312" w:eastAsia="仿宋_GB2312" w:cs="仿宋_GB2312"/>
          <w:bCs/>
          <w:sz w:val="32"/>
          <w:szCs w:val="32"/>
        </w:rPr>
        <w:t>，对本项目的预算资金执行情况及绩效目标的完成情况开展自评。</w:t>
      </w:r>
    </w:p>
    <w:p>
      <w:pPr>
        <w:pStyle w:val="9"/>
        <w:spacing w:line="360" w:lineRule="auto"/>
        <w:ind w:firstLine="643" w:firstLineChars="200"/>
        <w:rPr>
          <w:rFonts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9"/>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日至</w:t>
      </w: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bCs/>
          <w:sz w:val="32"/>
          <w:szCs w:val="32"/>
        </w:rPr>
        <w:t>日开展自评工作。</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9"/>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1</w:t>
      </w:r>
      <w:r>
        <w:rPr>
          <w:rFonts w:hint="eastAsia" w:ascii="仿宋_GB2312" w:hAnsi="仿宋_GB2312" w:eastAsia="仿宋_GB2312" w:cs="仿宋_GB2312"/>
          <w:b/>
          <w:sz w:val="32"/>
          <w:szCs w:val="32"/>
        </w:rPr>
        <w:t>、前期准备</w:t>
      </w:r>
    </w:p>
    <w:p>
      <w:pPr>
        <w:pStyle w:val="9"/>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9"/>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9"/>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9"/>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2</w:t>
      </w:r>
      <w:r>
        <w:rPr>
          <w:rFonts w:hint="eastAsia" w:ascii="仿宋_GB2312" w:hAnsi="仿宋_GB2312" w:eastAsia="仿宋_GB2312" w:cs="仿宋_GB2312"/>
          <w:b/>
          <w:sz w:val="32"/>
          <w:szCs w:val="32"/>
        </w:rPr>
        <w:t>、组织过程</w:t>
      </w:r>
    </w:p>
    <w:p>
      <w:pPr>
        <w:pStyle w:val="9"/>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9"/>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9"/>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3</w:t>
      </w:r>
      <w:r>
        <w:rPr>
          <w:rFonts w:hint="eastAsia" w:ascii="仿宋_GB2312" w:hAnsi="仿宋_GB2312" w:eastAsia="仿宋_GB2312" w:cs="仿宋_GB2312"/>
          <w:b/>
          <w:sz w:val="32"/>
          <w:szCs w:val="32"/>
        </w:rPr>
        <w:t>、分析评价</w:t>
      </w:r>
    </w:p>
    <w:p>
      <w:pPr>
        <w:pStyle w:val="9"/>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9"/>
        <w:spacing w:line="360" w:lineRule="auto"/>
        <w:rPr>
          <w:rFonts w:ascii="黑体" w:hAnsi="黑体" w:eastAsia="黑体" w:cs="仿宋_GB2312"/>
          <w:b/>
          <w:sz w:val="32"/>
          <w:szCs w:val="32"/>
        </w:rPr>
      </w:pPr>
      <w:r>
        <w:rPr>
          <w:rFonts w:hint="eastAsia" w:ascii="黑体" w:hAnsi="黑体" w:eastAsia="黑体" w:cs="仿宋_GB2312"/>
          <w:b/>
          <w:sz w:val="32"/>
          <w:szCs w:val="32"/>
          <w:lang w:val="en-US" w:eastAsia="zh-CN"/>
        </w:rPr>
        <w:t>三</w:t>
      </w:r>
      <w:r>
        <w:rPr>
          <w:rFonts w:hint="eastAsia" w:ascii="黑体" w:hAnsi="黑体" w:eastAsia="黑体" w:cs="仿宋_GB2312"/>
          <w:b/>
          <w:sz w:val="32"/>
          <w:szCs w:val="32"/>
        </w:rPr>
        <w:t>、绩效目标自评完成情况分析</w:t>
      </w:r>
    </w:p>
    <w:p>
      <w:pPr>
        <w:pStyle w:val="9"/>
        <w:spacing w:line="360" w:lineRule="auto"/>
        <w:rPr>
          <w:rFonts w:ascii="黑体" w:hAnsi="黑体" w:eastAsia="黑体" w:cs="仿宋_GB2312"/>
          <w:b/>
          <w:sz w:val="32"/>
          <w:szCs w:val="32"/>
        </w:rPr>
      </w:pPr>
      <w:r>
        <w:rPr>
          <w:rFonts w:hint="eastAsia" w:ascii="仿宋_GB2312" w:hAnsi="仿宋_GB2312" w:eastAsia="仿宋_GB2312" w:cs="仿宋_GB2312"/>
          <w:b/>
          <w:sz w:val="32"/>
          <w:szCs w:val="32"/>
        </w:rPr>
        <w:t>（一）资金投入情况分析</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9"/>
        <w:spacing w:line="360" w:lineRule="auto"/>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200</w:t>
      </w:r>
      <w:r>
        <w:rPr>
          <w:rFonts w:hint="eastAsia" w:ascii="仿宋_GB2312" w:hAnsi="仿宋_GB2312" w:eastAsia="仿宋_GB2312" w:cs="仿宋_GB2312"/>
          <w:color w:val="auto"/>
          <w:sz w:val="32"/>
          <w:szCs w:val="32"/>
        </w:rPr>
        <w:t>万元，实际到位</w:t>
      </w:r>
      <w:r>
        <w:rPr>
          <w:rFonts w:hint="eastAsia" w:ascii="仿宋_GB2312" w:hAnsi="仿宋_GB2312" w:eastAsia="仿宋_GB2312" w:cs="仿宋_GB2312"/>
          <w:color w:val="auto"/>
          <w:sz w:val="32"/>
          <w:szCs w:val="32"/>
          <w:lang w:val="en-US" w:eastAsia="zh-CN"/>
        </w:rPr>
        <w:t>200</w:t>
      </w:r>
      <w:r>
        <w:rPr>
          <w:rFonts w:hint="eastAsia" w:ascii="仿宋_GB2312" w:hAnsi="仿宋_GB2312" w:eastAsia="仿宋_GB2312" w:cs="仿宋_GB2312"/>
          <w:color w:val="auto"/>
          <w:sz w:val="32"/>
          <w:szCs w:val="32"/>
        </w:rPr>
        <w:t>万元，全部为中央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自治区</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bCs/>
          <w:color w:val="auto"/>
          <w:sz w:val="32"/>
          <w:szCs w:val="32"/>
        </w:rPr>
        <w:t>预算到位率</w:t>
      </w:r>
      <w:r>
        <w:rPr>
          <w:rFonts w:hint="eastAsia" w:ascii="仿宋_GB2312" w:hAnsi="仿宋_GB2312" w:eastAsia="仿宋_GB2312" w:cs="仿宋_GB2312"/>
          <w:bCs/>
          <w:color w:val="auto"/>
          <w:sz w:val="32"/>
          <w:szCs w:val="32"/>
          <w:lang w:val="en-US" w:eastAsia="zh-CN"/>
        </w:rPr>
        <w:t>100</w:t>
      </w:r>
      <w:r>
        <w:rPr>
          <w:rFonts w:hint="eastAsia" w:ascii="仿宋_GB2312" w:hAnsi="仿宋_GB2312" w:eastAsia="仿宋_GB2312" w:cs="仿宋_GB2312"/>
          <w:bCs/>
          <w:color w:val="auto"/>
          <w:sz w:val="32"/>
          <w:szCs w:val="32"/>
        </w:rPr>
        <w:t>%。</w:t>
      </w:r>
    </w:p>
    <w:p>
      <w:pPr>
        <w:pStyle w:val="9"/>
        <w:spacing w:line="360" w:lineRule="auto"/>
        <w:ind w:firstLine="643" w:firstLineChars="200"/>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2.项目资金执行情况分析</w:t>
      </w:r>
    </w:p>
    <w:p>
      <w:pPr>
        <w:pStyle w:val="9"/>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200</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188.38</w:t>
      </w:r>
      <w:r>
        <w:rPr>
          <w:rFonts w:hint="eastAsia" w:ascii="仿宋_GB2312" w:hAnsi="仿宋_GB2312" w:eastAsia="仿宋_GB2312" w:cs="仿宋_GB2312"/>
          <w:color w:val="auto"/>
          <w:sz w:val="32"/>
          <w:szCs w:val="32"/>
        </w:rPr>
        <w:t>万元，资金执行率</w:t>
      </w:r>
      <w:r>
        <w:rPr>
          <w:rFonts w:hint="eastAsia" w:ascii="仿宋_GB2312" w:hAnsi="仿宋_GB2312" w:eastAsia="仿宋_GB2312" w:cs="仿宋_GB2312"/>
          <w:color w:val="auto"/>
          <w:sz w:val="32"/>
          <w:szCs w:val="32"/>
          <w:lang w:val="en-US" w:eastAsia="zh-CN"/>
        </w:rPr>
        <w:t>94</w:t>
      </w:r>
      <w:r>
        <w:rPr>
          <w:rFonts w:hint="eastAsia" w:ascii="仿宋_GB2312" w:hAnsi="仿宋_GB2312" w:eastAsia="仿宋_GB2312" w:cs="仿宋_GB2312"/>
          <w:color w:val="auto"/>
          <w:sz w:val="32"/>
          <w:szCs w:val="32"/>
        </w:rPr>
        <w:t>%。</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spacing w:line="560" w:lineRule="exact"/>
        <w:ind w:firstLine="64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资金投入情况：该项目年初预算数</w:t>
      </w:r>
      <w:r>
        <w:rPr>
          <w:rFonts w:hint="eastAsia" w:ascii="仿宋_GB2312" w:hAnsi="仿宋_GB2312" w:cs="仿宋_GB2312"/>
          <w:sz w:val="32"/>
          <w:szCs w:val="32"/>
          <w:lang w:val="en-US" w:eastAsia="zh-CN"/>
        </w:rPr>
        <w:t>200</w:t>
      </w:r>
      <w:r>
        <w:rPr>
          <w:rFonts w:hint="eastAsia" w:ascii="仿宋_GB2312" w:hAnsi="仿宋_GB2312" w:eastAsia="仿宋_GB2312" w:cs="仿宋_GB2312"/>
          <w:sz w:val="32"/>
          <w:szCs w:val="32"/>
        </w:rPr>
        <w:t>万元，全年预算数</w:t>
      </w:r>
      <w:r>
        <w:rPr>
          <w:rFonts w:hint="eastAsia" w:ascii="仿宋_GB2312" w:hAnsi="仿宋_GB2312" w:cs="仿宋_GB2312"/>
          <w:sz w:val="32"/>
          <w:szCs w:val="32"/>
          <w:lang w:val="en-US" w:eastAsia="zh-CN"/>
        </w:rPr>
        <w:t>200</w:t>
      </w:r>
      <w:r>
        <w:rPr>
          <w:rFonts w:hint="eastAsia" w:ascii="仿宋_GB2312" w:hAnsi="仿宋_GB2312" w:eastAsia="仿宋_GB2312" w:cs="仿宋_GB2312"/>
          <w:sz w:val="32"/>
          <w:szCs w:val="32"/>
        </w:rPr>
        <w:t>万元，实际总投入</w:t>
      </w:r>
      <w:r>
        <w:rPr>
          <w:rFonts w:hint="eastAsia" w:ascii="仿宋_GB2312" w:hAnsi="仿宋_GB2312" w:eastAsia="仿宋_GB2312" w:cs="仿宋_GB2312"/>
          <w:sz w:val="32"/>
          <w:szCs w:val="32"/>
          <w:lang w:val="en-US" w:eastAsia="zh-CN"/>
        </w:rPr>
        <w:t>188.38</w:t>
      </w:r>
      <w:r>
        <w:rPr>
          <w:rFonts w:hint="eastAsia" w:ascii="仿宋_GB2312" w:hAnsi="仿宋_GB2312" w:eastAsia="仿宋_GB2312" w:cs="仿宋_GB2312"/>
          <w:sz w:val="32"/>
          <w:szCs w:val="32"/>
        </w:rPr>
        <w:t>万元，该项目资金已全部落实到位,资金来源为财政拨款资金。</w:t>
      </w:r>
    </w:p>
    <w:p>
      <w:pPr>
        <w:spacing w:line="560" w:lineRule="exact"/>
        <w:ind w:firstLine="64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资金使用情况：该项目年初预算数</w:t>
      </w:r>
      <w:r>
        <w:rPr>
          <w:rFonts w:hint="eastAsia" w:ascii="仿宋_GB2312" w:hAnsi="仿宋_GB2312" w:cs="仿宋_GB2312"/>
          <w:sz w:val="32"/>
          <w:szCs w:val="32"/>
          <w:lang w:val="en-US" w:eastAsia="zh-CN"/>
        </w:rPr>
        <w:t>200</w:t>
      </w:r>
      <w:r>
        <w:rPr>
          <w:rFonts w:hint="eastAsia" w:ascii="仿宋_GB2312" w:hAnsi="仿宋_GB2312" w:eastAsia="仿宋_GB2312" w:cs="仿宋_GB2312"/>
          <w:sz w:val="32"/>
          <w:szCs w:val="32"/>
        </w:rPr>
        <w:t>万元，全年预算数</w:t>
      </w:r>
      <w:r>
        <w:rPr>
          <w:rFonts w:hint="eastAsia" w:ascii="仿宋_GB2312" w:hAnsi="仿宋_GB2312" w:cs="仿宋_GB2312"/>
          <w:sz w:val="32"/>
          <w:szCs w:val="32"/>
          <w:lang w:val="en-US" w:eastAsia="zh-CN"/>
        </w:rPr>
        <w:t>200</w:t>
      </w:r>
      <w:r>
        <w:rPr>
          <w:rFonts w:hint="eastAsia" w:ascii="仿宋_GB2312" w:hAnsi="仿宋_GB2312" w:eastAsia="仿宋_GB2312" w:cs="仿宋_GB2312"/>
          <w:sz w:val="32"/>
          <w:szCs w:val="32"/>
        </w:rPr>
        <w:t>万元，全年执行数</w:t>
      </w:r>
      <w:r>
        <w:rPr>
          <w:rFonts w:hint="eastAsia" w:ascii="仿宋_GB2312" w:hAnsi="仿宋_GB2312" w:cs="仿宋_GB2312"/>
          <w:sz w:val="32"/>
          <w:szCs w:val="32"/>
          <w:lang w:val="en-US" w:eastAsia="zh-CN"/>
        </w:rPr>
        <w:t>188.38</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94</w:t>
      </w:r>
      <w:r>
        <w:rPr>
          <w:rFonts w:hint="eastAsia" w:ascii="仿宋_GB2312" w:hAnsi="仿宋_GB2312" w:eastAsia="仿宋_GB2312" w:cs="仿宋_GB2312"/>
          <w:sz w:val="32"/>
          <w:szCs w:val="32"/>
        </w:rPr>
        <w:t>%</w:t>
      </w:r>
      <w:r>
        <w:rPr>
          <w:rFonts w:hint="eastAsia" w:ascii="仿宋_GB2312" w:hAnsi="仿宋_GB2312" w:eastAsia="仿宋_GB2312" w:cs="仿宋_GB2312"/>
          <w:b w:val="0"/>
          <w:i w:val="0"/>
          <w:caps w:val="0"/>
          <w:spacing w:val="0"/>
          <w:w w:val="100"/>
          <w:sz w:val="32"/>
          <w:szCs w:val="32"/>
        </w:rPr>
        <w:t>。</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9"/>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w:t>
      </w:r>
      <w:r>
        <w:rPr>
          <w:rFonts w:hint="eastAsia" w:ascii="仿宋_GB2312" w:hAnsi="仿宋_GB2312" w:eastAsia="仿宋_GB2312" w:cs="仿宋_GB2312"/>
          <w:iCs/>
          <w:sz w:val="32"/>
          <w:szCs w:val="32"/>
          <w:lang w:eastAsia="zh-CN"/>
        </w:rPr>
        <w:t>脱贫</w:t>
      </w:r>
      <w:r>
        <w:rPr>
          <w:rFonts w:hint="eastAsia" w:ascii="仿宋_GB2312" w:hAnsi="仿宋_GB2312" w:eastAsia="仿宋_GB2312" w:cs="仿宋_GB2312"/>
          <w:iCs/>
          <w:sz w:val="32"/>
          <w:szCs w:val="32"/>
        </w:rPr>
        <w:t>户的居住环境的目标，助力了脱贫攻坚。</w:t>
      </w:r>
    </w:p>
    <w:p>
      <w:pPr>
        <w:pStyle w:val="9"/>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w:t>
      </w:r>
    </w:p>
    <w:p>
      <w:pPr>
        <w:pStyle w:val="9"/>
        <w:spacing w:line="360" w:lineRule="auto"/>
        <w:ind w:firstLine="640" w:firstLineChars="200"/>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color w:val="auto"/>
          <w:sz w:val="32"/>
          <w:szCs w:val="32"/>
          <w:lang w:val="en-US" w:eastAsia="zh-CN"/>
        </w:rPr>
        <w:t>已完成</w:t>
      </w:r>
      <w:r>
        <w:rPr>
          <w:rFonts w:hint="eastAsia" w:ascii="仿宋_GB2312" w:hAnsi="仿宋_GB2312" w:eastAsia="仿宋_GB2312" w:cs="仿宋_GB2312"/>
          <w:b w:val="0"/>
          <w:i w:val="0"/>
          <w:caps w:val="0"/>
          <w:spacing w:val="0"/>
          <w:w w:val="100"/>
          <w:sz w:val="32"/>
          <w:szCs w:val="32"/>
        </w:rPr>
        <w:t>采购风物馆室内电器设备一套、给排水、采暖、通风、消防工程等配套设施；地面硬化637.48平方米、室外渗水坑2座及配套附属设施</w:t>
      </w:r>
      <w:r>
        <w:rPr>
          <w:rFonts w:hint="eastAsia" w:ascii="仿宋_GB2312" w:hAnsi="仿宋_GB2312" w:eastAsia="仿宋_GB2312" w:cs="仿宋_GB2312"/>
          <w:b w:val="0"/>
          <w:i w:val="0"/>
          <w:caps w:val="0"/>
          <w:spacing w:val="0"/>
          <w:w w:val="100"/>
          <w:sz w:val="32"/>
          <w:szCs w:val="32"/>
          <w:lang w:eastAsia="zh-CN"/>
        </w:rPr>
        <w:t>，已实现脱贫户</w:t>
      </w:r>
      <w:r>
        <w:rPr>
          <w:rFonts w:hint="default" w:ascii="仿宋_GB2312" w:hAnsi="仿宋_GB2312" w:eastAsia="仿宋_GB2312" w:cs="仿宋_GB2312"/>
          <w:b w:val="0"/>
          <w:i w:val="0"/>
          <w:caps w:val="0"/>
          <w:spacing w:val="0"/>
          <w:w w:val="100"/>
          <w:sz w:val="32"/>
          <w:szCs w:val="32"/>
          <w:lang w:val="en-US" w:eastAsia="zh-CN"/>
        </w:rPr>
        <w:t>100</w:t>
      </w:r>
      <w:r>
        <w:rPr>
          <w:rFonts w:hint="eastAsia" w:ascii="仿宋_GB2312" w:hAnsi="仿宋_GB2312" w:eastAsia="仿宋_GB2312" w:cs="仿宋_GB2312"/>
          <w:b w:val="0"/>
          <w:i w:val="0"/>
          <w:caps w:val="0"/>
          <w:spacing w:val="0"/>
          <w:w w:val="100"/>
          <w:sz w:val="32"/>
          <w:szCs w:val="32"/>
          <w:lang w:val="en-US" w:eastAsia="zh-CN"/>
        </w:rPr>
        <w:t>户，项目覆盖村队叔</w:t>
      </w:r>
      <w:r>
        <w:rPr>
          <w:rFonts w:hint="default" w:ascii="仿宋_GB2312" w:hAnsi="仿宋_GB2312" w:eastAsia="仿宋_GB2312" w:cs="仿宋_GB2312"/>
          <w:b w:val="0"/>
          <w:i w:val="0"/>
          <w:caps w:val="0"/>
          <w:spacing w:val="0"/>
          <w:w w:val="100"/>
          <w:sz w:val="32"/>
          <w:szCs w:val="32"/>
          <w:lang w:val="en-US" w:eastAsia="zh-CN"/>
        </w:rPr>
        <w:t>4</w:t>
      </w:r>
      <w:r>
        <w:rPr>
          <w:rFonts w:hint="eastAsia" w:ascii="仿宋_GB2312" w:hAnsi="仿宋_GB2312" w:eastAsia="仿宋_GB2312" w:cs="仿宋_GB2312"/>
          <w:b w:val="0"/>
          <w:i w:val="0"/>
          <w:caps w:val="0"/>
          <w:spacing w:val="0"/>
          <w:w w:val="100"/>
          <w:sz w:val="32"/>
          <w:szCs w:val="32"/>
          <w:lang w:val="en-US" w:eastAsia="zh-CN"/>
        </w:rPr>
        <w:t>个</w:t>
      </w:r>
      <w:r>
        <w:rPr>
          <w:rFonts w:hint="eastAsia" w:ascii="仿宋_GB2312" w:hAnsi="仿宋_GB2312" w:eastAsia="仿宋_GB2312" w:cs="仿宋_GB2312"/>
          <w:b w:val="0"/>
          <w:i w:val="0"/>
          <w:caps w:val="0"/>
          <w:spacing w:val="0"/>
          <w:w w:val="100"/>
          <w:sz w:val="32"/>
          <w:szCs w:val="32"/>
        </w:rPr>
        <w:t>。</w:t>
      </w:r>
      <w:r>
        <w:rPr>
          <w:rFonts w:hint="eastAsia" w:ascii="仿宋_GB2312" w:hAnsi="仿宋_GB2312" w:eastAsia="仿宋_GB2312" w:cs="仿宋_GB2312"/>
          <w:b w:val="0"/>
          <w:i w:val="0"/>
          <w:caps w:val="0"/>
          <w:spacing w:val="0"/>
          <w:w w:val="100"/>
          <w:sz w:val="32"/>
          <w:szCs w:val="32"/>
          <w:lang w:val="en-US" w:eastAsia="zh-CN"/>
        </w:rPr>
        <w:t>通过项目实施可以改善景区旅游环境、提升旅游品质，推动旅游业发展，带动当地创业和收益。</w:t>
      </w:r>
    </w:p>
    <w:p>
      <w:pPr>
        <w:pStyle w:val="9"/>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spacing w:line="360" w:lineRule="auto"/>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数量指标</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指标1：电器设备，</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=1套</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1套</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指标2：地面铺设</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=637.48平方米</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637.48平方米</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640"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：室外渗水坑</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highlight w:val="none"/>
          <w:lang w:val="en-US" w:eastAsia="zh-CN"/>
        </w:rPr>
        <w:t>=2座</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highlight w:val="none"/>
          <w:lang w:val="en-US" w:eastAsia="zh-CN"/>
        </w:rPr>
        <w:t>2座</w:t>
      </w:r>
      <w:r>
        <w:rPr>
          <w:rFonts w:hint="eastAsia" w:ascii="仿宋_GB2312" w:hAnsi="仿宋_GB2312" w:eastAsia="仿宋_GB2312" w:cs="仿宋_GB2312"/>
          <w:color w:val="auto"/>
          <w:sz w:val="32"/>
          <w:szCs w:val="32"/>
          <w:highlight w:val="none"/>
        </w:rPr>
        <w:t>，</w:t>
      </w:r>
    </w:p>
    <w:p>
      <w:pPr>
        <w:spacing w:line="360" w:lineRule="auto"/>
        <w:ind w:firstLine="320" w:firstLineChars="1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质量指标</w:t>
      </w:r>
    </w:p>
    <w:p>
      <w:p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lang w:val="en-US" w:eastAsia="zh-CN"/>
        </w:rPr>
        <w:t>工程</w:t>
      </w:r>
      <w:r>
        <w:rPr>
          <w:rFonts w:hint="eastAsia" w:ascii="仿宋_GB2312" w:hAnsi="仿宋_GB2312" w:eastAsia="仿宋_GB2312" w:cs="仿宋_GB2312"/>
          <w:color w:val="auto"/>
          <w:sz w:val="32"/>
          <w:szCs w:val="32"/>
          <w:highlight w:val="none"/>
          <w:lang w:eastAsia="zh-CN"/>
        </w:rPr>
        <w:t>）验收合格率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lang w:eastAsia="zh-CN"/>
        </w:rPr>
        <w:t>年度指标值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 </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numPr>
          <w:ilvl w:val="0"/>
          <w:numId w:val="0"/>
        </w:num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时效指标</w:t>
      </w:r>
    </w:p>
    <w:p>
      <w:p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项目开工时间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年度指标值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月</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月</w:t>
      </w:r>
      <w:r>
        <w:rPr>
          <w:rFonts w:hint="eastAsia" w:ascii="仿宋_GB2312" w:hAnsi="仿宋_GB2312" w:eastAsia="仿宋_GB2312" w:cs="仿宋_GB2312"/>
          <w:color w:val="auto"/>
          <w:sz w:val="32"/>
          <w:szCs w:val="32"/>
          <w:highlight w:val="none"/>
        </w:rPr>
        <w:t xml:space="preserve"> ，指标完成率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spacing w:line="360" w:lineRule="auto"/>
        <w:ind w:firstLine="56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项目完工时间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年度指标值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2022年7月</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月</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spacing w:line="360" w:lineRule="auto"/>
        <w:ind w:firstLine="56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计划竣工验收时间</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年度指标值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月</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2022年</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月</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成本指标</w:t>
      </w:r>
    </w:p>
    <w:p>
      <w:pPr>
        <w:spacing w:line="360" w:lineRule="auto"/>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指标1：电器设备及配套设施成本：</w:t>
      </w:r>
      <w:r>
        <w:rPr>
          <w:rFonts w:hint="eastAsia" w:ascii="仿宋_GB2312" w:hAnsi="仿宋_GB2312" w:eastAsia="仿宋_GB2312" w:cs="仿宋_GB2312"/>
          <w:color w:val="auto"/>
          <w:sz w:val="32"/>
          <w:szCs w:val="32"/>
          <w:lang w:eastAsia="zh-CN"/>
        </w:rPr>
        <w:t>小于等于</w:t>
      </w:r>
      <w:r>
        <w:rPr>
          <w:rFonts w:hint="eastAsia" w:ascii="仿宋_GB2312" w:hAnsi="仿宋_GB2312" w:cs="仿宋_GB2312"/>
          <w:color w:val="auto"/>
          <w:sz w:val="32"/>
          <w:szCs w:val="32"/>
          <w:lang w:val="en-US" w:eastAsia="zh-CN"/>
        </w:rPr>
        <w:t>90万元</w:t>
      </w:r>
      <w:r>
        <w:rPr>
          <w:rFonts w:hint="eastAsia" w:ascii="仿宋_GB2312" w:hAnsi="仿宋_GB2312" w:eastAsia="仿宋_GB2312" w:cs="仿宋_GB2312"/>
          <w:color w:val="auto"/>
          <w:sz w:val="32"/>
          <w:szCs w:val="32"/>
        </w:rPr>
        <w:t xml:space="preserve">，实际完成值 </w:t>
      </w:r>
      <w:r>
        <w:rPr>
          <w:rFonts w:hint="eastAsia" w:ascii="仿宋_GB2312" w:hAnsi="仿宋_GB2312" w:cs="仿宋_GB2312"/>
          <w:color w:val="auto"/>
          <w:sz w:val="32"/>
          <w:szCs w:val="32"/>
          <w:lang w:val="en-US" w:eastAsia="zh-CN"/>
        </w:rPr>
        <w:t>90万元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指标2：室外渗水坑</w:t>
      </w:r>
      <w:r>
        <w:rPr>
          <w:rFonts w:hint="eastAsia" w:ascii="仿宋_GB2312" w:hAnsi="仿宋_GB2312" w:eastAsia="仿宋_GB2312" w:cs="仿宋_GB2312"/>
          <w:color w:val="auto"/>
          <w:sz w:val="32"/>
          <w:szCs w:val="32"/>
          <w:lang w:eastAsia="zh-CN"/>
        </w:rPr>
        <w:t>，年度指标值小于等于</w:t>
      </w:r>
      <w:r>
        <w:rPr>
          <w:rFonts w:hint="eastAsia" w:ascii="仿宋_GB2312" w:hAnsi="仿宋_GB2312" w:cs="仿宋_GB2312"/>
          <w:color w:val="auto"/>
          <w:sz w:val="32"/>
          <w:szCs w:val="32"/>
          <w:lang w:val="en-US" w:eastAsia="zh-CN"/>
        </w:rPr>
        <w:t>60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59</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rPr>
          <w:rFonts w:hint="eastAsia"/>
          <w:color w:val="auto"/>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：地面硬化成本</w:t>
      </w:r>
      <w:r>
        <w:rPr>
          <w:rFonts w:hint="eastAsia" w:ascii="仿宋_GB2312" w:hAnsi="仿宋_GB2312" w:eastAsia="仿宋_GB2312" w:cs="仿宋_GB2312"/>
          <w:color w:val="auto"/>
          <w:sz w:val="32"/>
          <w:szCs w:val="32"/>
          <w:lang w:eastAsia="zh-CN"/>
        </w:rPr>
        <w:t>，年度指标值小于等于</w:t>
      </w:r>
      <w:r>
        <w:rPr>
          <w:rFonts w:hint="eastAsia" w:ascii="仿宋_GB2312" w:hAnsi="仿宋_GB2312" w:cs="仿宋_GB2312"/>
          <w:color w:val="auto"/>
          <w:sz w:val="32"/>
          <w:szCs w:val="32"/>
          <w:lang w:val="en-US" w:eastAsia="zh-CN"/>
        </w:rPr>
        <w:t>50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50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outlineLvl w:val="1"/>
        <w:rPr>
          <w:rFonts w:hint="eastAsia" w:ascii="仿宋_GB2312" w:hAnsi="仿宋_GB2312" w:eastAsia="仿宋_GB2312" w:cs="仿宋_GB2312"/>
          <w:b/>
          <w:bCs/>
          <w:sz w:val="32"/>
          <w:szCs w:val="32"/>
        </w:rPr>
      </w:pPr>
      <w:bookmarkStart w:id="0" w:name="_Toc31697"/>
      <w:bookmarkStart w:id="1" w:name="_Toc67911615"/>
      <w:r>
        <w:rPr>
          <w:rFonts w:hint="eastAsia" w:ascii="仿宋_GB2312" w:hAnsi="仿宋_GB2312" w:eastAsia="仿宋_GB2312" w:cs="仿宋_GB2312"/>
          <w:b/>
          <w:bCs/>
          <w:sz w:val="32"/>
          <w:szCs w:val="32"/>
        </w:rPr>
        <w:t>（四）项目效益情况</w:t>
      </w:r>
      <w:bookmarkEnd w:id="0"/>
      <w:bookmarkEnd w:id="1"/>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1.项目效益</w:t>
      </w:r>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社会效益指标</w:t>
      </w:r>
      <w:r>
        <w:rPr>
          <w:rFonts w:hint="eastAsia" w:ascii="仿宋_GB2312" w:hAnsi="仿宋_GB2312" w:eastAsia="仿宋_GB2312" w:cs="仿宋_GB2312"/>
          <w:sz w:val="32"/>
          <w:szCs w:val="32"/>
        </w:rPr>
        <w:t>：受益脱贫户数，</w:t>
      </w:r>
      <w:r>
        <w:rPr>
          <w:rFonts w:hint="eastAsia" w:ascii="仿宋_GB2312" w:hAnsi="仿宋_GB2312" w:eastAsia="仿宋_GB2312" w:cs="仿宋_GB2312"/>
          <w:sz w:val="32"/>
          <w:szCs w:val="32"/>
          <w:lang w:eastAsia="zh-CN"/>
        </w:rPr>
        <w:t>年度指标值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大于等于</w:t>
      </w:r>
      <w:r>
        <w:rPr>
          <w:rFonts w:hint="eastAsia" w:ascii="仿宋_GB2312" w:hAnsi="仿宋_GB2312" w:cs="仿宋_GB2312"/>
          <w:sz w:val="32"/>
          <w:szCs w:val="32"/>
          <w:lang w:val="en-US" w:eastAsia="zh-CN"/>
        </w:rPr>
        <w:t>100户</w:t>
      </w:r>
      <w:r>
        <w:rPr>
          <w:rFonts w:hint="eastAsia" w:ascii="仿宋_GB2312" w:hAnsi="仿宋_GB2312" w:eastAsia="仿宋_GB2312" w:cs="仿宋_GB2312"/>
          <w:sz w:val="32"/>
          <w:szCs w:val="32"/>
        </w:rPr>
        <w:t>，实际完成值：</w:t>
      </w:r>
      <w:r>
        <w:rPr>
          <w:rFonts w:hint="default" w:ascii="仿宋_GB2312" w:hAnsi="仿宋_GB2312" w:eastAsia="仿宋_GB2312" w:cs="仿宋_GB2312"/>
          <w:sz w:val="32"/>
          <w:szCs w:val="32"/>
          <w:lang w:val="en-US"/>
        </w:rPr>
        <w:t>31</w:t>
      </w:r>
      <w:r>
        <w:rPr>
          <w:rFonts w:hint="eastAsia" w:ascii="仿宋_GB2312" w:hAnsi="仿宋_GB2312" w:cs="仿宋_GB2312"/>
          <w:sz w:val="32"/>
          <w:szCs w:val="32"/>
          <w:lang w:val="en-US" w:eastAsia="zh-CN"/>
        </w:rPr>
        <w:t>户</w:t>
      </w:r>
      <w:r>
        <w:rPr>
          <w:rFonts w:hint="eastAsia" w:ascii="仿宋_GB2312" w:hAnsi="仿宋_GB2312" w:eastAsia="仿宋_GB2312" w:cs="仿宋_GB2312"/>
          <w:sz w:val="32"/>
          <w:szCs w:val="32"/>
        </w:rPr>
        <w:t>。</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可持续影响指标：</w:t>
      </w:r>
      <w:r>
        <w:rPr>
          <w:rFonts w:hint="eastAsia" w:ascii="仿宋_GB2312" w:hAnsi="仿宋_GB2312" w:eastAsia="仿宋_GB2312" w:cs="仿宋_GB2312"/>
          <w:sz w:val="32"/>
          <w:szCs w:val="32"/>
        </w:rPr>
        <w:t>评价指标“</w:t>
      </w:r>
      <w:r>
        <w:rPr>
          <w:rFonts w:hint="eastAsia" w:ascii="仿宋_GB2312" w:hAnsi="仿宋_GB2312" w:eastAsia="仿宋_GB2312" w:cs="仿宋_GB2312"/>
          <w:sz w:val="32"/>
          <w:szCs w:val="32"/>
          <w:lang w:eastAsia="zh-CN"/>
        </w:rPr>
        <w:t>工程设计使用年限</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年度指标值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10年</w:t>
      </w:r>
      <w:r>
        <w:rPr>
          <w:rFonts w:hint="eastAsia" w:ascii="仿宋_GB2312" w:hAnsi="仿宋_GB2312" w:eastAsia="仿宋_GB2312" w:cs="仿宋_GB2312"/>
          <w:sz w:val="32"/>
          <w:szCs w:val="32"/>
        </w:rPr>
        <w:t>，实际完成值：达成年度指标。</w:t>
      </w:r>
    </w:p>
    <w:p>
      <w:pPr>
        <w:spacing w:line="360" w:lineRule="auto"/>
        <w:ind w:firstLine="560"/>
        <w:rPr>
          <w:rFonts w:hint="eastAsia"/>
        </w:rPr>
      </w:pPr>
      <w:r>
        <w:rPr>
          <w:rFonts w:hint="eastAsia" w:ascii="仿宋_GB2312" w:hAnsi="仿宋_GB2312" w:eastAsia="仿宋_GB2312" w:cs="仿宋_GB2312"/>
          <w:b/>
          <w:bCs/>
          <w:sz w:val="32"/>
          <w:szCs w:val="32"/>
        </w:rPr>
        <w:t>生态效益指标：</w:t>
      </w:r>
      <w:r>
        <w:rPr>
          <w:rFonts w:hint="eastAsia" w:ascii="仿宋_GB2312" w:hAnsi="仿宋_GB2312" w:eastAsia="仿宋_GB2312" w:cs="仿宋_GB2312"/>
          <w:sz w:val="32"/>
          <w:szCs w:val="32"/>
          <w:highlight w:val="none"/>
        </w:rPr>
        <w:t>提升景区旅游环境、提升旅游品质，</w:t>
      </w:r>
      <w:r>
        <w:rPr>
          <w:rFonts w:hint="eastAsia" w:ascii="仿宋_GB2312" w:hAnsi="仿宋_GB2312" w:eastAsia="仿宋_GB2312" w:cs="仿宋_GB2312"/>
          <w:sz w:val="32"/>
          <w:szCs w:val="32"/>
          <w:highlight w:val="none"/>
          <w:lang w:eastAsia="zh-CN"/>
        </w:rPr>
        <w:t>年度指标值</w:t>
      </w:r>
      <w:r>
        <w:rPr>
          <w:rFonts w:hint="eastAsia" w:ascii="仿宋_GB2312" w:hAnsi="仿宋_GB2312" w:eastAsia="仿宋_GB2312" w:cs="仿宋_GB2312"/>
          <w:sz w:val="32"/>
          <w:szCs w:val="32"/>
          <w:highlight w:val="none"/>
          <w:lang w:val="en-US" w:eastAsia="zh-CN"/>
        </w:rPr>
        <w:t>有效提升</w:t>
      </w:r>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服务对象满意度指标：</w:t>
      </w:r>
      <w:r>
        <w:rPr>
          <w:rFonts w:hint="eastAsia" w:ascii="仿宋_GB2312" w:hAnsi="仿宋_GB2312" w:eastAsia="仿宋_GB2312" w:cs="仿宋_GB2312"/>
          <w:sz w:val="32"/>
          <w:szCs w:val="32"/>
        </w:rPr>
        <w:t>评价指标受益脱贫人口满意度，</w:t>
      </w:r>
      <w:r>
        <w:rPr>
          <w:rFonts w:hint="eastAsia" w:ascii="仿宋_GB2312" w:hAnsi="仿宋_GB2312" w:eastAsia="仿宋_GB2312" w:cs="仿宋_GB2312"/>
          <w:sz w:val="32"/>
          <w:szCs w:val="32"/>
          <w:lang w:eastAsia="zh-CN"/>
        </w:rPr>
        <w:t>年度指标值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pStyle w:val="9"/>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lang w:val="en-US" w:eastAsia="zh-CN"/>
        </w:rPr>
        <w:t>四</w:t>
      </w:r>
      <w:r>
        <w:rPr>
          <w:rFonts w:hint="eastAsia" w:ascii="黑体" w:hAnsi="黑体" w:eastAsia="黑体" w:cs="仿宋_GB2312"/>
          <w:b/>
          <w:sz w:val="32"/>
          <w:szCs w:val="32"/>
        </w:rPr>
        <w:t>、偏离绩效目标的原因和下一步改进措施</w:t>
      </w:r>
    </w:p>
    <w:p>
      <w:pPr>
        <w:pStyle w:val="9"/>
        <w:spacing w:line="360" w:lineRule="auto"/>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9"/>
        <w:spacing w:line="360" w:lineRule="auto"/>
        <w:rPr>
          <w:rFonts w:hint="eastAsia" w:ascii="仿宋_GB2312" w:hAnsi="仿宋_GB2312" w:eastAsia="仿宋_GB2312" w:cs="仿宋_GB2312"/>
          <w:b/>
          <w:color w:val="000000"/>
          <w:sz w:val="32"/>
          <w:szCs w:val="32"/>
          <w:highlight w:val="none"/>
          <w:lang w:val="en-US" w:eastAsia="zh-CN"/>
        </w:rPr>
      </w:pPr>
      <w:r>
        <w:rPr>
          <w:rFonts w:hint="eastAsia" w:ascii="仿宋_GB2312" w:hAnsi="仿宋_GB2312" w:eastAsia="仿宋_GB2312" w:cs="仿宋_GB2312"/>
          <w:sz w:val="32"/>
          <w:szCs w:val="32"/>
          <w:lang w:val="en-US" w:eastAsia="zh-CN"/>
        </w:rPr>
        <w:t>预算执行存在偏差，实际到位资金200万元，支付188.38万元，支付率94%，偏差率6%，</w:t>
      </w:r>
      <w:r>
        <w:rPr>
          <w:rFonts w:hint="eastAsia" w:ascii="仿宋_GB2312" w:hAnsi="仿宋_GB2312" w:eastAsia="仿宋_GB2312" w:cs="仿宋_GB2312"/>
          <w:sz w:val="32"/>
          <w:szCs w:val="32"/>
          <w:highlight w:val="none"/>
          <w:lang w:val="en-US" w:eastAsia="zh-CN"/>
        </w:rPr>
        <w:t>造成偏差的原因主要通过一是项目通过招投标降低了部分成本，二是项目留存了3%质保金，因质保期未到资金尚未支付，到期后进行支付。</w:t>
      </w:r>
    </w:p>
    <w:p>
      <w:pPr>
        <w:pStyle w:val="9"/>
        <w:numPr>
          <w:ilvl w:val="0"/>
          <w:numId w:val="3"/>
        </w:numPr>
        <w:spacing w:line="360" w:lineRule="auto"/>
        <w:ind w:firstLine="643"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下一步改进措施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eastAsia="仿宋_GB2312"/>
          <w:lang w:val="en-US" w:eastAsia="zh-CN"/>
        </w:rPr>
      </w:pPr>
      <w:r>
        <w:rPr>
          <w:rFonts w:hint="eastAsia" w:ascii="仿宋_GB2312" w:hAnsi="仿宋_GB2312" w:eastAsia="仿宋_GB2312" w:cs="仿宋_GB2312"/>
          <w:color w:val="auto"/>
          <w:sz w:val="32"/>
          <w:szCs w:val="32"/>
          <w:highlight w:val="none"/>
          <w:lang w:val="en-US" w:eastAsia="zh-CN"/>
        </w:rPr>
        <w:t>进一步</w:t>
      </w:r>
      <w:r>
        <w:rPr>
          <w:rFonts w:hint="eastAsia" w:ascii="仿宋_GB2312" w:hAnsi="仿宋_GB2312" w:eastAsia="仿宋_GB2312" w:cs="仿宋_GB2312"/>
          <w:sz w:val="32"/>
          <w:szCs w:val="32"/>
          <w:lang w:val="en-US" w:eastAsia="zh-CN"/>
        </w:rPr>
        <w:t>加强项目的管理，</w:t>
      </w:r>
      <w:r>
        <w:rPr>
          <w:rFonts w:hint="eastAsia" w:ascii="仿宋_GB2312" w:hAnsi="仿宋_GB2312" w:eastAsia="仿宋_GB2312" w:cs="仿宋_GB2312"/>
          <w:kern w:val="1"/>
          <w:sz w:val="32"/>
          <w:szCs w:val="32"/>
        </w:rPr>
        <w:t>带动剩余劳动力和失业人口的就业</w:t>
      </w:r>
      <w:r>
        <w:rPr>
          <w:rFonts w:hint="eastAsia" w:ascii="仿宋_GB2312" w:hAnsi="仿宋_GB2312" w:eastAsia="仿宋_GB2312" w:cs="仿宋_GB2312"/>
          <w:sz w:val="32"/>
          <w:szCs w:val="32"/>
          <w:lang w:val="en-US" w:eastAsia="zh-CN"/>
        </w:rPr>
        <w:t>提升旅游品质，推动旅游业发展，带动当地创业和收益。</w:t>
      </w:r>
    </w:p>
    <w:p>
      <w:pPr>
        <w:pStyle w:val="9"/>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ascii="仿宋" w:hAnsi="仿宋" w:eastAsia="仿宋" w:cs="仿宋"/>
          <w:bCs/>
          <w:kern w:val="2"/>
          <w:sz w:val="32"/>
          <w:szCs w:val="32"/>
          <w:lang w:val="en-US" w:eastAsia="zh-CN"/>
        </w:rPr>
      </w:pPr>
      <w:r>
        <w:rPr>
          <w:rFonts w:hint="eastAsia" w:ascii="仿宋" w:hAnsi="仿宋" w:eastAsia="仿宋" w:cs="仿宋"/>
          <w:bCs/>
          <w:kern w:val="2"/>
          <w:sz w:val="32"/>
          <w:szCs w:val="32"/>
          <w:lang w:val="en-US" w:eastAsia="zh-CN"/>
        </w:rPr>
        <w:t>在今后的补助项目当中对设计目标要提高设计标准，优化，细化方案，对各项指标和指标值的设定要进一步优化，完善。</w:t>
      </w:r>
    </w:p>
    <w:p>
      <w:pPr>
        <w:keepNext w:val="0"/>
        <w:keepLines w:val="0"/>
        <w:pageBreakBefore w:val="0"/>
        <w:widowControl w:val="0"/>
        <w:kinsoku/>
        <w:wordWrap/>
        <w:overflowPunct/>
        <w:topLinePunct w:val="0"/>
        <w:autoSpaceDE/>
        <w:autoSpaceDN/>
        <w:bidi w:val="0"/>
        <w:adjustRightInd/>
        <w:snapToGrid/>
        <w:spacing w:line="500" w:lineRule="exact"/>
        <w:ind w:firstLine="600"/>
        <w:textAlignment w:val="auto"/>
        <w:rPr>
          <w:rFonts w:hint="default" w:ascii="仿宋_GB2312" w:hAnsi="仿宋_GB2312" w:eastAsia="仿宋_GB2312" w:cs="仿宋_GB2312"/>
          <w:kern w:val="1"/>
          <w:sz w:val="32"/>
          <w:szCs w:val="32"/>
          <w:lang w:val="en-US" w:eastAsia="zh-CN"/>
        </w:rPr>
      </w:pPr>
      <w:r>
        <w:rPr>
          <w:rFonts w:hint="eastAsia" w:ascii="仿宋" w:hAnsi="仿宋" w:eastAsia="仿宋" w:cs="仿宋"/>
          <w:bCs/>
          <w:kern w:val="2"/>
          <w:sz w:val="32"/>
          <w:szCs w:val="32"/>
          <w:lang w:val="en-US" w:eastAsia="zh-CN"/>
        </w:rPr>
        <w:t xml:space="preserve">  今后对</w:t>
      </w:r>
      <w:r>
        <w:rPr>
          <w:rFonts w:hint="eastAsia" w:ascii="仿宋_GB2312" w:hAnsi="仿宋_GB2312" w:eastAsia="仿宋_GB2312" w:cs="仿宋_GB2312"/>
          <w:kern w:val="1"/>
          <w:sz w:val="32"/>
          <w:szCs w:val="32"/>
        </w:rPr>
        <w:t>旅游基础设施（风物馆）建设</w:t>
      </w:r>
      <w:r>
        <w:rPr>
          <w:rFonts w:hint="eastAsia" w:ascii="仿宋_GB2312" w:hAnsi="仿宋_GB2312" w:eastAsia="仿宋_GB2312" w:cs="仿宋_GB2312"/>
          <w:kern w:val="1"/>
          <w:sz w:val="32"/>
          <w:szCs w:val="32"/>
          <w:lang w:val="en-US" w:eastAsia="zh-CN"/>
        </w:rPr>
        <w:t>新项目跟踪管理，以便使补助资金的发放发挥更大的效益</w:t>
      </w:r>
    </w:p>
    <w:p>
      <w:pPr>
        <w:pStyle w:val="9"/>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仿宋" w:hAnsi="仿宋" w:eastAsia="仿宋" w:cs="仿宋"/>
          <w:bCs/>
          <w:kern w:val="2"/>
          <w:sz w:val="32"/>
          <w:szCs w:val="32"/>
          <w:lang w:val="en-US" w:eastAsia="zh-CN"/>
        </w:rPr>
      </w:pPr>
    </w:p>
    <w:p>
      <w:pPr>
        <w:pStyle w:val="9"/>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rPr>
        <w:t>五、绩效自评结果拟应用和公开情况</w:t>
      </w:r>
    </w:p>
    <w:p>
      <w:pPr>
        <w:pStyle w:val="9"/>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ascii="仿宋_GB2312" w:hAnsi="仿宋_GB2312" w:eastAsia="仿宋_GB2312" w:cs="仿宋_GB2312"/>
          <w:iCs/>
          <w:color w:val="auto"/>
          <w:sz w:val="32"/>
          <w:szCs w:val="32"/>
        </w:rPr>
        <w:t>经综合评价，本项目实施</w:t>
      </w:r>
      <w:r>
        <w:rPr>
          <w:rFonts w:hint="eastAsia" w:ascii="仿宋_GB2312" w:hAnsi="仿宋_GB2312" w:eastAsia="仿宋_GB2312" w:cs="仿宋_GB2312"/>
          <w:iCs/>
          <w:color w:val="auto"/>
          <w:sz w:val="32"/>
          <w:szCs w:val="32"/>
        </w:rPr>
        <w:t>基本</w:t>
      </w:r>
      <w:r>
        <w:rPr>
          <w:rFonts w:ascii="仿宋_GB2312" w:hAnsi="仿宋_GB2312" w:eastAsia="仿宋_GB2312" w:cs="仿宋_GB2312"/>
          <w:iCs/>
          <w:color w:val="auto"/>
          <w:sz w:val="32"/>
          <w:szCs w:val="32"/>
        </w:rPr>
        <w:t>达成预期指标</w:t>
      </w:r>
      <w:r>
        <w:rPr>
          <w:rFonts w:hint="eastAsia" w:ascii="仿宋_GB2312" w:hAnsi="仿宋_GB2312" w:eastAsia="仿宋_GB2312" w:cs="仿宋_GB2312"/>
          <w:iCs/>
          <w:color w:val="auto"/>
          <w:sz w:val="32"/>
          <w:szCs w:val="32"/>
        </w:rPr>
        <w:t>，</w:t>
      </w:r>
      <w:r>
        <w:rPr>
          <w:rFonts w:ascii="仿宋_GB2312" w:hAnsi="仿宋_GB2312" w:eastAsia="仿宋_GB2312" w:cs="仿宋_GB2312"/>
          <w:iCs/>
          <w:color w:val="auto"/>
          <w:sz w:val="32"/>
          <w:szCs w:val="32"/>
        </w:rPr>
        <w:t>资金使用、管理、保障到位，严格执行</w:t>
      </w:r>
      <w:r>
        <w:rPr>
          <w:rFonts w:hint="eastAsia" w:ascii="仿宋_GB2312" w:hAnsi="仿宋_GB2312" w:eastAsia="仿宋_GB2312" w:cs="仿宋_GB2312"/>
          <w:bCs/>
          <w:color w:val="auto"/>
          <w:sz w:val="32"/>
          <w:szCs w:val="32"/>
        </w:rPr>
        <w:t>财政</w:t>
      </w:r>
      <w:r>
        <w:rPr>
          <w:rFonts w:hint="eastAsia" w:ascii="仿宋_GB2312" w:hAnsi="仿宋_GB2312" w:eastAsia="仿宋_GB2312" w:cs="仿宋_GB2312"/>
          <w:bCs/>
          <w:color w:val="auto"/>
          <w:sz w:val="32"/>
          <w:szCs w:val="32"/>
          <w:lang w:eastAsia="zh-CN"/>
        </w:rPr>
        <w:t>衔接</w:t>
      </w:r>
      <w:r>
        <w:rPr>
          <w:rFonts w:hint="eastAsia" w:ascii="仿宋_GB2312" w:hAnsi="仿宋_GB2312" w:eastAsia="仿宋_GB2312" w:cs="仿宋_GB2312"/>
          <w:bCs/>
          <w:color w:val="auto"/>
          <w:sz w:val="32"/>
          <w:szCs w:val="32"/>
        </w:rPr>
        <w:t>项目资金实施及报账有关</w:t>
      </w:r>
      <w:r>
        <w:rPr>
          <w:rFonts w:ascii="仿宋_GB2312" w:hAnsi="仿宋_GB2312" w:eastAsia="仿宋_GB2312" w:cs="仿宋_GB2312"/>
          <w:iCs/>
          <w:color w:val="auto"/>
          <w:sz w:val="32"/>
          <w:szCs w:val="32"/>
        </w:rPr>
        <w:t>制度，能按照实施方案执行</w:t>
      </w:r>
      <w:r>
        <w:rPr>
          <w:rFonts w:hint="eastAsia" w:ascii="仿宋_GB2312" w:hAnsi="仿宋_GB2312" w:eastAsia="仿宋_GB2312" w:cs="仿宋_GB2312"/>
          <w:iCs/>
          <w:color w:val="auto"/>
          <w:sz w:val="32"/>
          <w:szCs w:val="32"/>
        </w:rPr>
        <w:t>项目管理</w:t>
      </w:r>
      <w:r>
        <w:rPr>
          <w:rFonts w:ascii="仿宋_GB2312" w:hAnsi="仿宋_GB2312" w:eastAsia="仿宋_GB2312" w:cs="仿宋_GB2312"/>
          <w:iCs/>
          <w:color w:val="auto"/>
          <w:sz w:val="32"/>
          <w:szCs w:val="32"/>
        </w:rPr>
        <w:t>，</w:t>
      </w:r>
      <w:r>
        <w:rPr>
          <w:rFonts w:hint="eastAsia" w:ascii="仿宋_GB2312" w:hAnsi="仿宋_GB2312" w:eastAsia="仿宋_GB2312" w:cs="仿宋_GB2312"/>
          <w:color w:val="auto"/>
          <w:sz w:val="32"/>
          <w:szCs w:val="32"/>
          <w:lang w:val="en-US" w:eastAsia="zh-CN"/>
        </w:rPr>
        <w:t>加大玉什喀拉苏镇对全面实施预算绩效管理和绩效管理工作的学习力度，让“花钱必问效，无效必问责”的理念深入工作每个环节。</w:t>
      </w:r>
      <w:r>
        <w:rPr>
          <w:rFonts w:hint="eastAsia" w:ascii="仿宋_GB2312" w:hAnsi="仿宋_GB2312" w:eastAsia="仿宋_GB2312" w:cs="仿宋_GB2312"/>
          <w:color w:val="auto"/>
          <w:sz w:val="32"/>
          <w:szCs w:val="32"/>
          <w:highlight w:val="none"/>
        </w:rPr>
        <w:t>今</w:t>
      </w:r>
      <w:r>
        <w:rPr>
          <w:rFonts w:hint="eastAsia" w:ascii="仿宋_GB2312" w:hAnsi="仿宋_GB2312" w:eastAsia="仿宋_GB2312" w:cs="仿宋_GB2312"/>
          <w:color w:val="auto"/>
          <w:sz w:val="32"/>
          <w:szCs w:val="32"/>
        </w:rPr>
        <w:t>后要积极采取其他部门的反馈意见，针对反馈意见，在今后的项目建设当中举一反三，提高项目建设管理能力，</w:t>
      </w:r>
      <w:r>
        <w:rPr>
          <w:rFonts w:hint="eastAsia" w:ascii="仿宋_GB2312" w:hAnsi="仿宋_GB2312" w:eastAsia="仿宋_GB2312" w:cs="仿宋_GB2312"/>
          <w:iCs/>
          <w:color w:val="auto"/>
          <w:sz w:val="32"/>
          <w:szCs w:val="32"/>
        </w:rPr>
        <w:t>为下一阶段开展工作做好准备。</w:t>
      </w:r>
    </w:p>
    <w:p>
      <w:pPr>
        <w:pStyle w:val="9"/>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本项目，</w:t>
      </w:r>
      <w:r>
        <w:rPr>
          <w:rFonts w:ascii="仿宋_GB2312" w:hAnsi="仿宋_GB2312" w:eastAsia="仿宋_GB2312" w:cs="仿宋_GB2312"/>
          <w:iCs/>
          <w:sz w:val="32"/>
          <w:szCs w:val="32"/>
        </w:rPr>
        <w:t>综合</w:t>
      </w:r>
      <w:r>
        <w:rPr>
          <w:rFonts w:hint="eastAsia" w:ascii="仿宋_GB2312" w:hAnsi="仿宋_GB2312" w:eastAsia="仿宋_GB2312" w:cs="仿宋_GB2312"/>
          <w:iCs/>
          <w:sz w:val="32"/>
          <w:szCs w:val="32"/>
        </w:rPr>
        <w:t>自评</w:t>
      </w:r>
      <w:r>
        <w:rPr>
          <w:rFonts w:ascii="仿宋_GB2312" w:hAnsi="仿宋_GB2312" w:eastAsia="仿宋_GB2312" w:cs="仿宋_GB2312"/>
          <w:iCs/>
          <w:sz w:val="32"/>
          <w:szCs w:val="32"/>
        </w:rPr>
        <w:t>得分为</w:t>
      </w:r>
      <w:r>
        <w:rPr>
          <w:rFonts w:hint="eastAsia" w:ascii="仿宋_GB2312" w:hAnsi="仿宋_GB2312" w:eastAsia="仿宋_GB2312" w:cs="仿宋_GB2312"/>
          <w:iCs/>
          <w:sz w:val="32"/>
          <w:szCs w:val="32"/>
          <w:lang w:val="en-US" w:eastAsia="zh-CN"/>
        </w:rPr>
        <w:t>99.4</w:t>
      </w:r>
      <w:r>
        <w:rPr>
          <w:rFonts w:ascii="仿宋_GB2312" w:hAnsi="仿宋_GB2312" w:eastAsia="仿宋_GB2312" w:cs="仿宋_GB2312"/>
          <w:iCs/>
          <w:sz w:val="32"/>
          <w:szCs w:val="32"/>
        </w:rPr>
        <w:t>分。</w:t>
      </w:r>
    </w:p>
    <w:p>
      <w:pPr>
        <w:pStyle w:val="9"/>
        <w:spacing w:line="360" w:lineRule="auto"/>
        <w:ind w:firstLine="640" w:firstLineChars="200"/>
      </w:pPr>
      <w:r>
        <w:rPr>
          <w:rFonts w:hint="eastAsia" w:ascii="仿宋_GB2312" w:hAnsi="仿宋_GB2312" w:eastAsia="仿宋_GB2312" w:cs="仿宋_GB2312"/>
          <w:iCs/>
          <w:sz w:val="32"/>
          <w:szCs w:val="32"/>
        </w:rPr>
        <w:t>本项目绩效自评报告将按照规定要求，</w:t>
      </w:r>
      <w:r>
        <w:rPr>
          <w:rFonts w:ascii="仿宋_GB2312" w:hAnsi="仿宋_GB2312" w:eastAsia="仿宋_GB2312" w:cs="仿宋_GB2312"/>
          <w:iCs/>
          <w:sz w:val="32"/>
          <w:szCs w:val="32"/>
        </w:rPr>
        <w:t>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000010101"/>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PAGE   \* MERGEFORMAT</w:instrText>
    </w:r>
    <w:r>
      <w:fldChar w:fldCharType="separate"/>
    </w:r>
    <w:r>
      <w:rPr>
        <w:lang w:val="zh-CN"/>
      </w:rPr>
      <w:t>3</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decimal"/>
      <w:lvlText w:val="%1."/>
      <w:lvlJc w:val="left"/>
      <w:pPr>
        <w:tabs>
          <w:tab w:val="left" w:pos="312"/>
        </w:tabs>
      </w:pPr>
    </w:lvl>
  </w:abstractNum>
  <w:abstractNum w:abstractNumId="1">
    <w:nsid w:val="00000001"/>
    <w:multiLevelType w:val="singleLevel"/>
    <w:tmpl w:val="00000001"/>
    <w:lvl w:ilvl="0" w:tentative="0">
      <w:start w:val="2"/>
      <w:numFmt w:val="chineseCounting"/>
      <w:suff w:val="nothing"/>
      <w:lvlText w:val="（%1）"/>
      <w:lvlJc w:val="left"/>
      <w:rPr>
        <w:rFonts w:hint="eastAsia"/>
      </w:rPr>
    </w:lvl>
  </w:abstractNum>
  <w:abstractNum w:abstractNumId="2">
    <w:nsid w:val="00000002"/>
    <w:multiLevelType w:val="singleLevel"/>
    <w:tmpl w:val="00000002"/>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9B25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qFormat/>
    <w:uiPriority w:val="9"/>
    <w:pPr>
      <w:keepNext/>
      <w:keepLines/>
      <w:spacing w:before="260" w:after="260" w:line="416" w:lineRule="auto"/>
      <w:jc w:val="left"/>
      <w:outlineLvl w:val="2"/>
    </w:pPr>
    <w:rPr>
      <w:bCs/>
      <w:szCs w:val="32"/>
    </w:rPr>
  </w:style>
  <w:style w:type="character" w:default="1" w:styleId="13">
    <w:name w:val="Default Paragraph Font"/>
    <w:qFormat/>
    <w:uiPriority w:val="1"/>
  </w:style>
  <w:style w:type="table" w:default="1" w:styleId="12">
    <w:name w:val="Normal Table"/>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rPr>
      <w:rFonts w:cs="Times New Roman"/>
    </w:rPr>
  </w:style>
  <w:style w:type="paragraph" w:styleId="4">
    <w:name w:val="annotation text"/>
    <w:basedOn w:val="1"/>
    <w:qFormat/>
    <w:uiPriority w:val="99"/>
    <w:pPr>
      <w:jc w:val="left"/>
    </w:pPr>
  </w:style>
  <w:style w:type="paragraph" w:styleId="5">
    <w:name w:val="Body Text Indent"/>
    <w:basedOn w:val="1"/>
    <w:qFormat/>
    <w:uiPriority w:val="99"/>
    <w:pPr>
      <w:ind w:firstLine="640"/>
    </w:pPr>
    <w:rPr>
      <w:rFonts w:eastAsia="楷体_GB2312"/>
      <w:sz w:val="32"/>
      <w:szCs w:val="24"/>
    </w:rPr>
  </w:style>
  <w:style w:type="paragraph" w:styleId="6">
    <w:name w:val="Balloon Text"/>
    <w:basedOn w:val="1"/>
    <w:link w:val="17"/>
    <w:qFormat/>
    <w:uiPriority w:val="99"/>
    <w:rPr>
      <w:sz w:val="18"/>
      <w:szCs w:val="18"/>
    </w:rPr>
  </w:style>
  <w:style w:type="paragraph" w:styleId="7">
    <w:name w:val="footer"/>
    <w:basedOn w:val="1"/>
    <w:link w:val="19"/>
    <w:qFormat/>
    <w:uiPriority w:val="99"/>
    <w:pPr>
      <w:tabs>
        <w:tab w:val="center" w:pos="4153"/>
        <w:tab w:val="right" w:pos="8306"/>
      </w:tabs>
      <w:snapToGrid w:val="0"/>
      <w:jc w:val="left"/>
    </w:pPr>
    <w:rPr>
      <w:sz w:val="18"/>
      <w:szCs w:val="18"/>
    </w:rPr>
  </w:style>
  <w:style w:type="paragraph" w:styleId="8">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16"/>
    <w:qFormat/>
    <w:uiPriority w:val="99"/>
    <w:pPr>
      <w:snapToGrid w:val="0"/>
      <w:jc w:val="left"/>
    </w:pPr>
    <w:rPr>
      <w:rFonts w:ascii="Calibri" w:hAnsi="Calibri" w:eastAsia="宋体" w:cs="Times New Roman"/>
      <w:sz w:val="18"/>
      <w:szCs w:val="18"/>
    </w:rPr>
  </w:style>
  <w:style w:type="paragraph" w:styleId="10">
    <w:name w:val="Body Text First Indent"/>
    <w:basedOn w:val="2"/>
    <w:qFormat/>
    <w:uiPriority w:val="0"/>
    <w:pPr>
      <w:spacing w:after="0"/>
      <w:ind w:firstLine="420" w:firstLineChars="100"/>
    </w:pPr>
    <w:rPr>
      <w:rFonts w:ascii="宋体" w:hAnsi="宋体" w:cs="宋体"/>
      <w:sz w:val="21"/>
      <w:lang w:val="zh-CN" w:bidi="zh-CN"/>
    </w:rPr>
  </w:style>
  <w:style w:type="paragraph" w:styleId="11">
    <w:name w:val="Body Text First Indent 2"/>
    <w:basedOn w:val="5"/>
    <w:qFormat/>
    <w:uiPriority w:val="99"/>
    <w:pPr>
      <w:spacing w:after="120"/>
      <w:ind w:left="420" w:leftChars="200" w:firstLine="420"/>
    </w:pPr>
    <w:rPr>
      <w:rFonts w:eastAsia="宋体"/>
      <w:sz w:val="28"/>
      <w:szCs w:val="22"/>
    </w:rPr>
  </w:style>
  <w:style w:type="character" w:styleId="14">
    <w:name w:val="Strong"/>
    <w:qFormat/>
    <w:uiPriority w:val="0"/>
    <w:rPr>
      <w:rFonts w:cs="Times New Roman"/>
      <w:b/>
      <w:bCs/>
    </w:rPr>
  </w:style>
  <w:style w:type="character" w:styleId="15">
    <w:name w:val="annotation reference"/>
    <w:basedOn w:val="13"/>
    <w:qFormat/>
    <w:uiPriority w:val="99"/>
    <w:rPr>
      <w:sz w:val="21"/>
      <w:szCs w:val="21"/>
    </w:rPr>
  </w:style>
  <w:style w:type="character" w:customStyle="1" w:styleId="16">
    <w:name w:val="脚注文本 Char"/>
    <w:basedOn w:val="13"/>
    <w:link w:val="9"/>
    <w:qFormat/>
    <w:uiPriority w:val="99"/>
    <w:rPr>
      <w:rFonts w:ascii="Calibri" w:hAnsi="Calibri" w:eastAsia="宋体" w:cs="Times New Roman"/>
      <w:sz w:val="18"/>
      <w:szCs w:val="18"/>
    </w:rPr>
  </w:style>
  <w:style w:type="character" w:customStyle="1" w:styleId="17">
    <w:name w:val="批注框文本 Char"/>
    <w:basedOn w:val="13"/>
    <w:link w:val="6"/>
    <w:qFormat/>
    <w:uiPriority w:val="99"/>
    <w:rPr>
      <w:kern w:val="2"/>
      <w:sz w:val="18"/>
      <w:szCs w:val="18"/>
    </w:rPr>
  </w:style>
  <w:style w:type="character" w:customStyle="1" w:styleId="18">
    <w:name w:val="页眉 Char"/>
    <w:basedOn w:val="13"/>
    <w:link w:val="8"/>
    <w:qFormat/>
    <w:uiPriority w:val="99"/>
    <w:rPr>
      <w:rFonts w:ascii="Calibri" w:hAnsi="Calibri" w:eastAsia="宋体" w:cs="黑体"/>
      <w:kern w:val="2"/>
      <w:sz w:val="18"/>
      <w:szCs w:val="18"/>
    </w:rPr>
  </w:style>
  <w:style w:type="character" w:customStyle="1" w:styleId="19">
    <w:name w:val="页脚 Char"/>
    <w:basedOn w:val="13"/>
    <w:link w:val="7"/>
    <w:qFormat/>
    <w:uiPriority w:val="99"/>
    <w:rPr>
      <w:rFonts w:ascii="Calibri" w:hAnsi="Calibri" w:eastAsia="宋体" w:cs="黑体"/>
      <w:kern w:val="2"/>
      <w:sz w:val="18"/>
      <w:szCs w:val="18"/>
    </w:rPr>
  </w:style>
  <w:style w:type="character" w:customStyle="1" w:styleId="20">
    <w:name w:val="font21"/>
    <w:basedOn w:val="13"/>
    <w:qFormat/>
    <w:uiPriority w:val="0"/>
    <w:rPr>
      <w:rFonts w:hint="eastAsia" w:ascii="宋体" w:hAnsi="宋体" w:eastAsia="宋体" w:cs="宋体"/>
      <w:color w:val="000000"/>
      <w:sz w:val="20"/>
      <w:szCs w:val="20"/>
      <w:u w:val="none"/>
    </w:rPr>
  </w:style>
  <w:style w:type="paragraph" w:customStyle="1" w:styleId="21">
    <w:name w:val="列出段落*"/>
    <w:basedOn w:val="1"/>
    <w:qFormat/>
    <w:uiPriority w:val="0"/>
    <w:pPr>
      <w:ind w:firstLine="420"/>
    </w:pPr>
    <w:rPr>
      <w:kern w:val="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8</Pages>
  <Words>3421</Words>
  <Characters>3674</Characters>
  <Paragraphs>240</Paragraphs>
  <TotalTime>2</TotalTime>
  <ScaleCrop>false</ScaleCrop>
  <LinksUpToDate>false</LinksUpToDate>
  <CharactersWithSpaces>3704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2023-02-10T11:09:32Z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669DA7789C834330B07374E6B95FE124</vt:lpwstr>
  </property>
</Properties>
</file>