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djustRightInd/>
        <w:snapToGrid/>
        <w:spacing w:line="240" w:lineRule="auto"/>
        <w:jc w:val="both"/>
        <w:textAlignment w:val="auto"/>
        <w:rPr>
          <w:rFonts w:hint="eastAsia" w:ascii="方正小标宋_GBK" w:hAnsi="方正小标宋_GBK" w:eastAsia="方正小标宋_GBK"/>
          <w:sz w:val="44"/>
          <w:szCs w:val="44"/>
          <w:highlight w:val="none"/>
        </w:rPr>
      </w:pPr>
    </w:p>
    <w:p>
      <w:pPr>
        <w:keepNext w:val="0"/>
        <w:keepLines w:val="0"/>
        <w:pageBreakBefore w:val="0"/>
        <w:widowControl w:val="0"/>
        <w:kinsoku/>
        <w:wordWrap/>
        <w:overflowPunct/>
        <w:topLinePunct w:val="0"/>
        <w:adjustRightInd/>
        <w:snapToGrid/>
        <w:spacing w:line="240" w:lineRule="auto"/>
        <w:jc w:val="center"/>
        <w:textAlignment w:val="auto"/>
        <w:rPr>
          <w:rFonts w:hint="eastAsia" w:ascii="方正小标宋_GBK" w:hAnsi="方正小标宋_GBK" w:eastAsia="方正小标宋_GBK"/>
          <w:sz w:val="44"/>
          <w:szCs w:val="44"/>
          <w:highlight w:val="none"/>
        </w:rPr>
      </w:pPr>
    </w:p>
    <w:p>
      <w:pPr>
        <w:keepNext w:val="0"/>
        <w:keepLines w:val="0"/>
        <w:pageBreakBefore w:val="0"/>
        <w:widowControl w:val="0"/>
        <w:kinsoku/>
        <w:wordWrap/>
        <w:overflowPunct/>
        <w:topLinePunct w:val="0"/>
        <w:adjustRightInd/>
        <w:snapToGrid/>
        <w:spacing w:line="240" w:lineRule="auto"/>
        <w:jc w:val="center"/>
        <w:textAlignment w:val="auto"/>
        <w:rPr>
          <w:rFonts w:hint="eastAsia" w:ascii="方正小标宋_GBK" w:hAnsi="方正小标宋_GBK" w:eastAsia="方正小标宋_GBK"/>
          <w:sz w:val="44"/>
          <w:szCs w:val="44"/>
          <w:highlight w:val="none"/>
        </w:rPr>
      </w:pPr>
    </w:p>
    <w:p>
      <w:pPr>
        <w:keepNext w:val="0"/>
        <w:keepLines w:val="0"/>
        <w:pageBreakBefore w:val="0"/>
        <w:widowControl w:val="0"/>
        <w:kinsoku/>
        <w:wordWrap/>
        <w:overflowPunct/>
        <w:topLinePunct w:val="0"/>
        <w:adjustRightInd/>
        <w:snapToGrid/>
        <w:spacing w:line="240" w:lineRule="auto"/>
        <w:jc w:val="center"/>
        <w:textAlignment w:val="auto"/>
        <w:rPr>
          <w:rFonts w:hint="eastAsia" w:ascii="方正小标宋_GBK" w:hAnsi="方正小标宋_GBK" w:eastAsia="方正小标宋_GBK"/>
          <w:sz w:val="44"/>
          <w:szCs w:val="44"/>
          <w:highlight w:val="none"/>
        </w:rPr>
      </w:pPr>
    </w:p>
    <w:p>
      <w:pPr>
        <w:keepNext w:val="0"/>
        <w:keepLines w:val="0"/>
        <w:pageBreakBefore w:val="0"/>
        <w:widowControl w:val="0"/>
        <w:kinsoku/>
        <w:wordWrap/>
        <w:overflowPunct/>
        <w:topLinePunct w:val="0"/>
        <w:adjustRightInd/>
        <w:snapToGrid/>
        <w:spacing w:line="240" w:lineRule="auto"/>
        <w:jc w:val="center"/>
        <w:textAlignment w:val="auto"/>
        <w:rPr>
          <w:rFonts w:hint="eastAsia" w:ascii="方正小标宋_GBK" w:hAnsi="方正小标宋_GBK" w:eastAsia="方正小标宋_GBK"/>
          <w:sz w:val="44"/>
          <w:szCs w:val="44"/>
          <w:highlight w:val="none"/>
        </w:rPr>
      </w:pPr>
      <w:r>
        <w:rPr>
          <w:rFonts w:hint="eastAsia" w:ascii="方正小标宋_GBK" w:hAnsi="方正小标宋_GBK" w:eastAsia="方正小标宋_GBK"/>
          <w:sz w:val="44"/>
          <w:szCs w:val="44"/>
          <w:highlight w:val="none"/>
        </w:rPr>
        <w:t>新疆塔城地区额敏县喀拉也木勒镇人民政府2022年度部门决算公开说明</w:t>
      </w:r>
    </w:p>
    <w:p>
      <w:pPr>
        <w:keepNext w:val="0"/>
        <w:keepLines w:val="0"/>
        <w:pageBreakBefore w:val="0"/>
        <w:widowControl w:val="0"/>
        <w:kinsoku/>
        <w:wordWrap/>
        <w:overflowPunct/>
        <w:topLinePunct w:val="0"/>
        <w:autoSpaceDE/>
        <w:autoSpaceDN/>
        <w:adjustRightInd/>
        <w:snapToGrid/>
        <w:spacing w:line="240" w:lineRule="auto"/>
        <w:ind w:left="0" w:leftChars="0"/>
        <w:jc w:val="center"/>
        <w:textAlignment w:val="auto"/>
        <w:rPr>
          <w:rFonts w:hint="eastAsia" w:ascii="仿宋_GB2312" w:hAnsi="仿宋_GB2312" w:eastAsia="仿宋_GB2312" w:cs="仿宋_GB2312"/>
          <w:b w:val="0"/>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kern w:val="0"/>
          <w:sz w:val="36"/>
          <w:szCs w:val="36"/>
          <w:highlight w:val="none"/>
        </w:rPr>
        <w:t>目 录</w:t>
      </w:r>
    </w:p>
    <w:p>
      <w:pPr>
        <w:pStyle w:val="6"/>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sz w:val="32"/>
          <w:szCs w:val="32"/>
          <w:highlight w:val="none"/>
        </w:rPr>
        <w:fldChar w:fldCharType="begin"/>
      </w:r>
      <w:r>
        <w:rPr>
          <w:rFonts w:hint="eastAsia" w:ascii="仿宋_GB2312" w:hAnsi="仿宋_GB2312" w:eastAsia="仿宋_GB2312" w:cs="仿宋_GB2312"/>
          <w:b/>
          <w:sz w:val="32"/>
          <w:szCs w:val="32"/>
          <w:highlight w:val="none"/>
        </w:rPr>
        <w:instrText xml:space="preserve"> HYPERLINK \l _Toc32314</w:instrText>
      </w:r>
      <w:r>
        <w:rPr>
          <w:rFonts w:hint="eastAsia" w:ascii="仿宋_GB2312" w:hAnsi="仿宋_GB2312" w:eastAsia="仿宋_GB2312" w:cs="仿宋_GB2312"/>
          <w:b/>
          <w:sz w:val="32"/>
          <w:szCs w:val="32"/>
          <w:highlight w:val="none"/>
        </w:rPr>
        <w:fldChar w:fldCharType="separate"/>
      </w:r>
      <w:r>
        <w:rPr>
          <w:rFonts w:hint="eastAsia" w:ascii="仿宋_GB2312" w:hAnsi="仿宋_GB2312" w:eastAsia="仿宋_GB2312" w:cs="仿宋_GB2312"/>
          <w:b/>
          <w:sz w:val="32"/>
          <w:szCs w:val="32"/>
          <w:highlight w:val="none"/>
        </w:rPr>
        <w:t>第一部分 单位概况</w:t>
      </w:r>
      <w:r>
        <w:rPr>
          <w:rFonts w:hint="eastAsia" w:ascii="仿宋_GB2312" w:hAnsi="仿宋_GB2312" w:eastAsia="仿宋_GB2312" w:cs="仿宋_GB2312"/>
          <w:b/>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_Toc30567</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rPr>
        <w:t>一、主要职能</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_Toc2151</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rPr>
        <w:t>二、机构设置</w:t>
      </w:r>
      <w:r>
        <w:rPr>
          <w:rFonts w:hint="eastAsia" w:ascii="仿宋_GB2312" w:hAnsi="仿宋_GB2312" w:eastAsia="仿宋_GB2312" w:cs="仿宋_GB2312"/>
          <w:kern w:val="0"/>
          <w:sz w:val="32"/>
          <w:szCs w:val="32"/>
          <w:highlight w:val="none"/>
          <w:lang w:eastAsia="zh-CN"/>
        </w:rPr>
        <w:t>及人员</w:t>
      </w:r>
      <w:r>
        <w:rPr>
          <w:rFonts w:hint="eastAsia" w:ascii="仿宋_GB2312" w:hAnsi="仿宋_GB2312" w:eastAsia="仿宋_GB2312" w:cs="仿宋_GB2312"/>
          <w:kern w:val="0"/>
          <w:sz w:val="32"/>
          <w:szCs w:val="32"/>
          <w:highlight w:val="none"/>
        </w:rPr>
        <w:t>情况</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highlight w:val="none"/>
        </w:rPr>
        <w:fldChar w:fldCharType="begin"/>
      </w:r>
      <w:r>
        <w:rPr>
          <w:rFonts w:hint="eastAsia" w:ascii="仿宋_GB2312" w:hAnsi="仿宋_GB2312" w:eastAsia="仿宋_GB2312" w:cs="仿宋_GB2312"/>
          <w:b/>
          <w:sz w:val="32"/>
          <w:szCs w:val="32"/>
          <w:highlight w:val="none"/>
        </w:rPr>
        <w:instrText xml:space="preserve"> HYPERLINK \l _Toc29374</w:instrText>
      </w:r>
      <w:r>
        <w:rPr>
          <w:rFonts w:hint="eastAsia" w:ascii="仿宋_GB2312" w:hAnsi="仿宋_GB2312" w:eastAsia="仿宋_GB2312" w:cs="仿宋_GB2312"/>
          <w:b/>
          <w:sz w:val="32"/>
          <w:szCs w:val="32"/>
          <w:highlight w:val="none"/>
        </w:rPr>
        <w:fldChar w:fldCharType="separate"/>
      </w:r>
      <w:r>
        <w:rPr>
          <w:rFonts w:hint="eastAsia" w:ascii="仿宋_GB2312" w:hAnsi="仿宋_GB2312" w:eastAsia="仿宋_GB2312" w:cs="仿宋_GB2312"/>
          <w:b/>
          <w:sz w:val="32"/>
          <w:szCs w:val="32"/>
          <w:highlight w:val="none"/>
        </w:rPr>
        <w:t>第二部分 部门决算情况说明</w:t>
      </w:r>
      <w:r>
        <w:rPr>
          <w:rFonts w:hint="eastAsia" w:ascii="仿宋_GB2312" w:hAnsi="仿宋_GB2312" w:eastAsia="仿宋_GB2312" w:cs="仿宋_GB2312"/>
          <w:b/>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_Toc25314</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_Toc12142</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lang w:eastAsia="zh-CN"/>
        </w:rPr>
        <w:t>二、</w:t>
      </w:r>
      <w:r>
        <w:rPr>
          <w:rFonts w:hint="eastAsia" w:ascii="仿宋_GB2312" w:hAnsi="仿宋_GB2312" w:eastAsia="仿宋_GB2312" w:cs="仿宋_GB2312"/>
          <w:kern w:val="0"/>
          <w:sz w:val="32"/>
          <w:szCs w:val="32"/>
          <w:highlight w:val="none"/>
        </w:rPr>
        <w:t>收入</w:t>
      </w:r>
      <w:r>
        <w:rPr>
          <w:rFonts w:hint="eastAsia" w:ascii="仿宋_GB2312" w:hAnsi="仿宋_GB2312" w:eastAsia="仿宋_GB2312" w:cs="仿宋_GB2312"/>
          <w:kern w:val="0"/>
          <w:sz w:val="32"/>
          <w:szCs w:val="32"/>
          <w:highlight w:val="none"/>
          <w:lang w:eastAsia="zh-CN"/>
        </w:rPr>
        <w:t>决算</w:t>
      </w:r>
      <w:r>
        <w:rPr>
          <w:rFonts w:hint="eastAsia" w:ascii="仿宋_GB2312" w:hAnsi="仿宋_GB2312" w:eastAsia="仿宋_GB2312" w:cs="仿宋_GB2312"/>
          <w:kern w:val="0"/>
          <w:sz w:val="32"/>
          <w:szCs w:val="32"/>
          <w:highlight w:val="none"/>
        </w:rPr>
        <w:t>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_Toc13201</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_Toc26564</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_Toc20360</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_Toc30870</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_Toc21518</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lang w:eastAsia="zh-CN"/>
        </w:rPr>
        <w:t>七</w:t>
      </w:r>
      <w:r>
        <w:rPr>
          <w:rFonts w:hint="eastAsia" w:ascii="仿宋_GB2312" w:hAnsi="仿宋_GB2312" w:eastAsia="仿宋_GB2312" w:cs="仿宋_GB2312"/>
          <w:kern w:val="0"/>
          <w:sz w:val="32"/>
          <w:szCs w:val="32"/>
          <w:highlight w:val="none"/>
        </w:rPr>
        <w:t>、</w:t>
      </w:r>
      <w:r>
        <w:rPr>
          <w:rFonts w:hint="eastAsia" w:ascii="仿宋_GB2312" w:hAnsi="仿宋_GB2312" w:eastAsia="仿宋_GB2312" w:cs="仿宋_GB2312"/>
          <w:kern w:val="0"/>
          <w:sz w:val="32"/>
          <w:szCs w:val="32"/>
          <w:highlight w:val="none"/>
          <w:lang w:eastAsia="zh-CN"/>
        </w:rPr>
        <w:t>财政拨款</w:t>
      </w:r>
      <w:r>
        <w:rPr>
          <w:rFonts w:hint="eastAsia" w:ascii="仿宋_GB2312" w:hAnsi="仿宋_GB2312" w:eastAsia="仿宋_GB2312" w:cs="仿宋_GB2312"/>
          <w:kern w:val="0"/>
          <w:sz w:val="32"/>
          <w:szCs w:val="32"/>
          <w:highlight w:val="none"/>
        </w:rPr>
        <w:t>“三公”经费支出</w:t>
      </w:r>
      <w:r>
        <w:rPr>
          <w:rFonts w:hint="eastAsia" w:ascii="仿宋_GB2312" w:hAnsi="仿宋_GB2312" w:eastAsia="仿宋_GB2312" w:cs="仿宋_GB2312"/>
          <w:kern w:val="0"/>
          <w:sz w:val="32"/>
          <w:szCs w:val="32"/>
          <w:highlight w:val="none"/>
          <w:lang w:eastAsia="zh-CN"/>
        </w:rPr>
        <w:t>决算</w:t>
      </w:r>
      <w:r>
        <w:rPr>
          <w:rFonts w:hint="eastAsia" w:ascii="仿宋_GB2312" w:hAnsi="仿宋_GB2312" w:eastAsia="仿宋_GB2312" w:cs="仿宋_GB2312"/>
          <w:kern w:val="0"/>
          <w:sz w:val="32"/>
          <w:szCs w:val="32"/>
          <w:highlight w:val="none"/>
        </w:rPr>
        <w:t>情况</w:t>
      </w:r>
      <w:r>
        <w:rPr>
          <w:rFonts w:hint="eastAsia" w:ascii="仿宋_GB2312" w:hAnsi="仿宋_GB2312" w:eastAsia="仿宋_GB2312" w:cs="仿宋_GB2312"/>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_Toc5810</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lang w:eastAsia="zh-CN"/>
        </w:rPr>
        <w:t>八、政府性基金预算财政拨款收入支出决算情况说明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_Toc5810</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lang w:eastAsia="zh-CN"/>
        </w:rPr>
        <w:t>九、国有资本经营预算财政拨款收入支出决算情况说明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_Toc1235</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lang w:eastAsia="zh-CN"/>
        </w:rPr>
        <w:t>十</w:t>
      </w:r>
      <w:r>
        <w:rPr>
          <w:rFonts w:hint="eastAsia" w:ascii="仿宋_GB2312" w:hAnsi="仿宋_GB2312" w:eastAsia="仿宋_GB2312" w:cs="仿宋_GB2312"/>
          <w:kern w:val="0"/>
          <w:sz w:val="32"/>
          <w:szCs w:val="32"/>
          <w:highlight w:val="none"/>
        </w:rPr>
        <w:t>、其他重要事项的情况</w:t>
      </w:r>
      <w:r>
        <w:rPr>
          <w:rFonts w:hint="eastAsia" w:ascii="仿宋_GB2312" w:hAnsi="仿宋_GB2312" w:eastAsia="仿宋_GB2312" w:cs="仿宋_GB2312"/>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_Toc14519</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机关运行经费支出情况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_Toc227</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_Toc8391</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_Toc11283</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lang w:eastAsia="zh-CN"/>
        </w:rPr>
        <w:t>十一、预算绩效的情况说明</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highlight w:val="none"/>
        </w:rPr>
        <w:fldChar w:fldCharType="begin"/>
      </w:r>
      <w:r>
        <w:rPr>
          <w:rFonts w:hint="eastAsia" w:ascii="仿宋_GB2312" w:hAnsi="仿宋_GB2312" w:eastAsia="仿宋_GB2312" w:cs="仿宋_GB2312"/>
          <w:b/>
          <w:sz w:val="32"/>
          <w:szCs w:val="32"/>
          <w:highlight w:val="none"/>
        </w:rPr>
        <w:instrText xml:space="preserve"> HYPERLINK \l _Toc3250</w:instrText>
      </w:r>
      <w:r>
        <w:rPr>
          <w:rFonts w:hint="eastAsia" w:ascii="仿宋_GB2312" w:hAnsi="仿宋_GB2312" w:eastAsia="仿宋_GB2312" w:cs="仿宋_GB2312"/>
          <w:b/>
          <w:sz w:val="32"/>
          <w:szCs w:val="32"/>
          <w:highlight w:val="none"/>
        </w:rPr>
        <w:fldChar w:fldCharType="separate"/>
      </w:r>
      <w:r>
        <w:rPr>
          <w:rFonts w:hint="eastAsia" w:ascii="仿宋_GB2312" w:hAnsi="仿宋_GB2312" w:eastAsia="仿宋_GB2312" w:cs="仿宋_GB2312"/>
          <w:b/>
          <w:sz w:val="32"/>
          <w:szCs w:val="32"/>
          <w:highlight w:val="none"/>
        </w:rPr>
        <w:t>第三部分 专业名词解释</w:t>
      </w:r>
      <w:r>
        <w:rPr>
          <w:rFonts w:hint="eastAsia" w:ascii="仿宋_GB2312" w:hAnsi="仿宋_GB2312" w:eastAsia="仿宋_GB2312" w:cs="仿宋_GB2312"/>
          <w:b/>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highlight w:val="none"/>
        </w:rPr>
        <w:fldChar w:fldCharType="begin"/>
      </w:r>
      <w:r>
        <w:rPr>
          <w:rFonts w:hint="eastAsia" w:ascii="仿宋_GB2312" w:hAnsi="仿宋_GB2312" w:eastAsia="仿宋_GB2312" w:cs="仿宋_GB2312"/>
          <w:b/>
          <w:sz w:val="32"/>
          <w:szCs w:val="32"/>
          <w:highlight w:val="none"/>
        </w:rPr>
        <w:instrText xml:space="preserve"> HYPERLINK \l _Toc22784</w:instrText>
      </w:r>
      <w:r>
        <w:rPr>
          <w:rFonts w:hint="eastAsia" w:ascii="仿宋_GB2312" w:hAnsi="仿宋_GB2312" w:eastAsia="仿宋_GB2312" w:cs="仿宋_GB2312"/>
          <w:b/>
          <w:sz w:val="32"/>
          <w:szCs w:val="32"/>
          <w:highlight w:val="none"/>
        </w:rPr>
        <w:fldChar w:fldCharType="separate"/>
      </w:r>
      <w:r>
        <w:rPr>
          <w:rFonts w:hint="eastAsia" w:ascii="仿宋_GB2312" w:hAnsi="仿宋_GB2312" w:eastAsia="仿宋_GB2312" w:cs="仿宋_GB2312"/>
          <w:b/>
          <w:sz w:val="32"/>
          <w:szCs w:val="32"/>
          <w:highlight w:val="none"/>
        </w:rPr>
        <w:t>第四部分 部门决算报表（见附表）</w:t>
      </w:r>
      <w:r>
        <w:rPr>
          <w:rFonts w:hint="eastAsia" w:ascii="仿宋_GB2312" w:hAnsi="仿宋_GB2312" w:eastAsia="仿宋_GB2312" w:cs="仿宋_GB2312"/>
          <w:b/>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_Toc2183</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_Toc24532</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_Toc32434</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_Toc28786</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_Toc14869</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_Toc8884</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_Toc29106</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rPr>
        <w:t>七、《财政拨款“三公”经费支出决算表》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_Toc7643</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rPr>
        <w:t>八、《政府性基金预算财政拨款收入支出决算表》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_Toc7643</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rPr>
        <w:t>九、《国有资本经营预算财政拨款收入支出决算表》</w:t>
      </w:r>
      <w:r>
        <w:rPr>
          <w:rFonts w:hint="eastAsia" w:ascii="仿宋_GB2312" w:hAnsi="仿宋_GB2312" w:eastAsia="仿宋_GB2312" w:cs="仿宋_GB2312"/>
          <w:sz w:val="32"/>
          <w:szCs w:val="32"/>
          <w:highlight w:val="none"/>
        </w:rPr>
        <w:fldChar w:fldCharType="end"/>
      </w:r>
    </w:p>
    <w:p>
      <w:pPr>
        <w:keepNext w:val="0"/>
        <w:keepLines w:val="0"/>
        <w:pageBreakBefore w:val="0"/>
        <w:widowControl w:val="0"/>
        <w:kinsoku/>
        <w:wordWrap/>
        <w:overflowPunct/>
        <w:topLinePunct w:val="0"/>
        <w:autoSpaceDE/>
        <w:autoSpaceDN/>
        <w:adjustRightInd/>
        <w:snapToGrid/>
        <w:ind w:left="0" w:leftChars="0"/>
        <w:jc w:val="both"/>
        <w:textAlignment w:val="auto"/>
        <w:rPr>
          <w:highlight w:val="none"/>
        </w:rPr>
      </w:pPr>
      <w:r>
        <w:rPr>
          <w:rFonts w:hint="eastAsia" w:ascii="仿宋_GB2312" w:hAnsi="仿宋_GB2312" w:eastAsia="仿宋_GB2312" w:cs="仿宋_GB2312"/>
          <w:sz w:val="32"/>
          <w:szCs w:val="32"/>
          <w:highlight w:val="none"/>
        </w:rPr>
        <w:fldChar w:fldCharType="end"/>
      </w:r>
    </w:p>
    <w:p>
      <w:pPr>
        <w:keepNext w:val="0"/>
        <w:keepLines w:val="0"/>
        <w:pageBreakBefore w:val="0"/>
        <w:widowControl w:val="0"/>
        <w:kinsoku/>
        <w:wordWrap/>
        <w:overflowPunct/>
        <w:topLinePunct w:val="0"/>
        <w:autoSpaceDE/>
        <w:autoSpaceDN/>
        <w:adjustRightInd/>
        <w:snapToGrid/>
        <w:spacing w:line="240" w:lineRule="auto"/>
        <w:ind w:firstLine="640" w:firstLineChars="200"/>
        <w:jc w:val="center"/>
        <w:textAlignment w:val="auto"/>
        <w:outlineLvl w:val="0"/>
        <w:rPr>
          <w:rFonts w:hint="eastAsia" w:ascii="黑体" w:hAnsi="黑体" w:eastAsia="黑体"/>
          <w:sz w:val="32"/>
          <w:szCs w:val="32"/>
          <w:highlight w:val="none"/>
        </w:rPr>
      </w:pPr>
      <w:r>
        <w:rPr>
          <w:rFonts w:hint="eastAsia" w:ascii="仿宋_GB2312" w:eastAsia="仿宋_GB2312"/>
          <w:sz w:val="32"/>
          <w:szCs w:val="32"/>
          <w:highlight w:val="none"/>
        </w:rPr>
        <w:br w:type="page"/>
      </w:r>
      <w:bookmarkStart w:id="0" w:name="_Toc24028"/>
      <w:bookmarkStart w:id="1" w:name="_Toc32314"/>
      <w:r>
        <w:rPr>
          <w:rFonts w:hint="eastAsia" w:ascii="黑体" w:hAnsi="黑体" w:eastAsia="黑体"/>
          <w:sz w:val="32"/>
          <w:szCs w:val="32"/>
          <w:highlight w:val="none"/>
        </w:rPr>
        <w:t>第一部分 单位概况</w:t>
      </w:r>
      <w:bookmarkEnd w:id="0"/>
      <w:bookmarkEnd w:id="1"/>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default" w:ascii="黑体" w:hAnsi="黑体" w:eastAsia="黑体" w:cs="宋体"/>
          <w:kern w:val="0"/>
          <w:sz w:val="32"/>
          <w:szCs w:val="32"/>
          <w:highlight w:val="none"/>
        </w:rPr>
      </w:pPr>
      <w:bookmarkStart w:id="2" w:name="_Toc30738"/>
      <w:bookmarkStart w:id="3" w:name="_Toc30567"/>
      <w:r>
        <w:rPr>
          <w:rFonts w:hint="eastAsia" w:ascii="黑体" w:hAnsi="黑体" w:eastAsia="黑体" w:cs="宋体"/>
          <w:kern w:val="0"/>
          <w:sz w:val="32"/>
          <w:szCs w:val="32"/>
          <w:highlight w:val="none"/>
        </w:rPr>
        <w:t>一、主要职能</w:t>
      </w:r>
      <w:bookmarkEnd w:id="2"/>
      <w:bookmarkEnd w:id="3"/>
    </w:p>
    <w:p>
      <w:pPr>
        <w:keepNext w:val="0"/>
        <w:keepLines w:val="0"/>
        <w:pageBreakBefore w:val="0"/>
        <w:widowControl w:val="0"/>
        <w:kinsoku/>
        <w:wordWrap/>
        <w:overflowPunct/>
        <w:topLinePunct w:val="0"/>
        <w:adjustRightInd/>
        <w:snapToGrid/>
        <w:spacing w:line="240" w:lineRule="auto"/>
        <w:ind w:firstLine="640" w:firstLineChars="200"/>
        <w:jc w:val="both"/>
        <w:textAlignment w:val="auto"/>
        <w:rPr>
          <w:rFonts w:hint="eastAsia" w:ascii="仿宋_GB2312" w:eastAsia="仿宋_GB2312"/>
          <w:sz w:val="32"/>
          <w:szCs w:val="32"/>
          <w:highlight w:val="none"/>
        </w:rPr>
      </w:pPr>
      <w:r>
        <w:rPr>
          <w:rFonts w:hint="eastAsia" w:ascii="仿宋_GB2312" w:eastAsia="仿宋_GB2312"/>
          <w:sz w:val="32"/>
          <w:szCs w:val="32"/>
          <w:highlight w:val="none"/>
        </w:rPr>
        <w:t>（1）制定和组织实施经济、科技和社会发展计划，制定资源开发技术改造和产业结构调整方案，组织指导好各业生产， 搞好商品流通，协调好本乡与外地区的经济交流与合作，抓好招商引资，人才引进项目开发，不断培育市场体系，组织经济运行，促进经济发展。</w:t>
      </w:r>
      <w:r>
        <w:rPr>
          <w:rFonts w:hint="eastAsia" w:ascii="仿宋_GB2312" w:eastAsia="仿宋_GB2312"/>
          <w:sz w:val="32"/>
          <w:szCs w:val="32"/>
          <w:highlight w:val="none"/>
        </w:rPr>
        <w:br w:type="textWrapping"/>
      </w:r>
      <w:r>
        <w:rPr>
          <w:rFonts w:hint="eastAsia" w:ascii="仿宋_GB2312" w:eastAsia="仿宋_GB2312"/>
          <w:sz w:val="32"/>
          <w:szCs w:val="32"/>
          <w:highlight w:val="none"/>
        </w:rPr>
        <w:t>　　（2）制定并组织实施村镇建设规划，部署重点工程建设，地方道路建设及公共设施，水利设施的管理，负责土地、林木、水等自然资源和生态环境的保护，做好护林防火工作。</w:t>
      </w:r>
      <w:r>
        <w:rPr>
          <w:rFonts w:hint="eastAsia" w:ascii="仿宋_GB2312" w:eastAsia="仿宋_GB2312"/>
          <w:sz w:val="32"/>
          <w:szCs w:val="32"/>
          <w:highlight w:val="none"/>
        </w:rPr>
        <w:br w:type="textWrapping"/>
      </w:r>
      <w:r>
        <w:rPr>
          <w:rFonts w:hint="eastAsia" w:ascii="仿宋_GB2312" w:eastAsia="仿宋_GB2312"/>
          <w:sz w:val="32"/>
          <w:szCs w:val="32"/>
          <w:highlight w:val="none"/>
        </w:rPr>
        <w:t>　　（3）负责本行政区域内的民政、计划生育、文化教育、卫生、体育等社 会公益事业的综合性工作，维护一切经济单位和个人的正当经济权益，取缔非法经济活动，调解和处理民事纠纷，打击刑事犯罪维护社会稳定。</w:t>
      </w:r>
      <w:r>
        <w:rPr>
          <w:rFonts w:hint="eastAsia" w:ascii="仿宋_GB2312" w:eastAsia="仿宋_GB2312"/>
          <w:sz w:val="32"/>
          <w:szCs w:val="32"/>
          <w:highlight w:val="none"/>
        </w:rPr>
        <w:br w:type="textWrapping"/>
      </w:r>
      <w:r>
        <w:rPr>
          <w:rFonts w:hint="eastAsia" w:ascii="仿宋_GB2312" w:eastAsia="仿宋_GB2312"/>
          <w:sz w:val="32"/>
          <w:szCs w:val="32"/>
          <w:highlight w:val="none"/>
        </w:rPr>
        <w:t>　　（4）按计划组织本级财政收入和地方税的征收，完成国家财政计划，不断培植税源，管好财政资金，增强财政实力。</w:t>
      </w:r>
      <w:r>
        <w:rPr>
          <w:rFonts w:hint="eastAsia" w:ascii="仿宋_GB2312" w:eastAsia="仿宋_GB2312"/>
          <w:sz w:val="32"/>
          <w:szCs w:val="32"/>
          <w:highlight w:val="none"/>
        </w:rPr>
        <w:br w:type="textWrapping"/>
      </w:r>
      <w:r>
        <w:rPr>
          <w:rFonts w:hint="eastAsia" w:ascii="仿宋_GB2312" w:eastAsia="仿宋_GB2312"/>
          <w:sz w:val="32"/>
          <w:szCs w:val="32"/>
          <w:highlight w:val="none"/>
        </w:rPr>
        <w:t>　　（5）抓好精神文明建设，丰富群众文化生活，提倡移风易俗，反对封建迷信，破除陈规陋习，树立社会主义新风尚。</w:t>
      </w:r>
      <w:r>
        <w:rPr>
          <w:rFonts w:hint="eastAsia" w:ascii="仿宋_GB2312" w:eastAsia="仿宋_GB2312"/>
          <w:sz w:val="32"/>
          <w:szCs w:val="32"/>
          <w:highlight w:val="none"/>
        </w:rPr>
        <w:br w:type="textWrapping"/>
      </w:r>
      <w:r>
        <w:rPr>
          <w:rFonts w:hint="eastAsia" w:ascii="仿宋_GB2312" w:eastAsia="仿宋_GB2312"/>
          <w:sz w:val="32"/>
          <w:szCs w:val="32"/>
          <w:highlight w:val="none"/>
        </w:rPr>
        <w:t>　　（6）完成上级政府交办的其它事项。</w:t>
      </w:r>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rPr>
      </w:pPr>
      <w:bookmarkStart w:id="4" w:name="_Toc31238"/>
      <w:bookmarkStart w:id="5" w:name="_Toc2151"/>
      <w:r>
        <w:rPr>
          <w:rFonts w:hint="eastAsia" w:ascii="黑体" w:hAnsi="黑体" w:eastAsia="黑体" w:cs="宋体"/>
          <w:kern w:val="0"/>
          <w:sz w:val="32"/>
          <w:szCs w:val="32"/>
          <w:highlight w:val="none"/>
        </w:rPr>
        <w:t>二、机构设置</w:t>
      </w:r>
      <w:r>
        <w:rPr>
          <w:rFonts w:hint="eastAsia" w:ascii="黑体" w:hAnsi="黑体" w:eastAsia="黑体" w:cs="宋体"/>
          <w:kern w:val="0"/>
          <w:sz w:val="32"/>
          <w:szCs w:val="32"/>
          <w:highlight w:val="none"/>
          <w:lang w:eastAsia="zh-CN"/>
        </w:rPr>
        <w:t>及</w:t>
      </w:r>
      <w:bookmarkEnd w:id="4"/>
      <w:r>
        <w:rPr>
          <w:rFonts w:hint="eastAsia" w:ascii="黑体" w:hAnsi="黑体" w:eastAsia="黑体" w:cs="宋体"/>
          <w:kern w:val="0"/>
          <w:sz w:val="32"/>
          <w:szCs w:val="32"/>
          <w:highlight w:val="none"/>
          <w:lang w:eastAsia="zh-CN"/>
        </w:rPr>
        <w:t>人员</w:t>
      </w:r>
      <w:r>
        <w:rPr>
          <w:rFonts w:hint="eastAsia" w:ascii="黑体" w:hAnsi="黑体" w:eastAsia="黑体" w:cs="宋体"/>
          <w:kern w:val="0"/>
          <w:sz w:val="32"/>
          <w:szCs w:val="32"/>
          <w:highlight w:val="none"/>
        </w:rPr>
        <w:t>情况</w:t>
      </w:r>
      <w:bookmarkEnd w:id="5"/>
    </w:p>
    <w:p>
      <w:pPr>
        <w:keepNext w:val="0"/>
        <w:keepLines w:val="0"/>
        <w:pageBreakBefore w:val="0"/>
        <w:widowControl w:val="0"/>
        <w:kinsoku/>
        <w:wordWrap/>
        <w:overflowPunct/>
        <w:topLinePunct w:val="0"/>
        <w:adjustRightInd/>
        <w:snapToGrid/>
        <w:spacing w:line="240" w:lineRule="auto"/>
        <w:ind w:firstLine="640" w:firstLineChars="200"/>
        <w:jc w:val="both"/>
        <w:textAlignment w:val="auto"/>
        <w:rPr>
          <w:rFonts w:hint="eastAsia" w:ascii="仿宋_GB2312" w:eastAsia="仿宋_GB2312"/>
          <w:sz w:val="32"/>
          <w:szCs w:val="32"/>
          <w:highlight w:val="none"/>
        </w:rPr>
      </w:pPr>
      <w:r>
        <w:rPr>
          <w:rFonts w:hint="eastAsia" w:ascii="仿宋_GB2312" w:eastAsia="仿宋_GB2312"/>
          <w:sz w:val="32"/>
          <w:szCs w:val="32"/>
          <w:highlight w:val="none"/>
        </w:rPr>
        <w:t>新疆塔城地区额敏县喀拉也木勒镇人民政府2022年度，实有人数25人，其中：在职人员15人，离休人员0人，退休人员10人。</w:t>
      </w:r>
    </w:p>
    <w:p>
      <w:pPr>
        <w:keepNext w:val="0"/>
        <w:keepLines w:val="0"/>
        <w:pageBreakBefore w:val="0"/>
        <w:widowControl w:val="0"/>
        <w:kinsoku/>
        <w:wordWrap/>
        <w:overflowPunct/>
        <w:topLinePunct w:val="0"/>
        <w:adjustRightInd/>
        <w:snapToGrid/>
        <w:spacing w:line="240" w:lineRule="auto"/>
        <w:ind w:firstLine="640" w:firstLineChars="200"/>
        <w:jc w:val="both"/>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从部门决算单位构成看，新疆塔城地区额敏县喀拉也木勒镇人民政府部门决算包括：新疆塔城地区额敏县喀拉也木勒镇人民政府决算。单位无下属预算单位，下设0个处室，分别是：无。</w:t>
      </w:r>
    </w:p>
    <w:p>
      <w:pPr>
        <w:keepNext w:val="0"/>
        <w:keepLines w:val="0"/>
        <w:pageBreakBefore w:val="0"/>
        <w:widowControl w:val="0"/>
        <w:kinsoku/>
        <w:wordWrap/>
        <w:overflowPunct/>
        <w:topLinePunct w:val="0"/>
        <w:autoSpaceDE/>
        <w:autoSpaceDN/>
        <w:adjustRightInd/>
        <w:snapToGrid/>
        <w:spacing w:line="240" w:lineRule="auto"/>
        <w:ind w:firstLine="562" w:firstLineChars="200"/>
        <w:jc w:val="center"/>
        <w:textAlignment w:val="auto"/>
        <w:outlineLvl w:val="0"/>
        <w:rPr>
          <w:rFonts w:hint="eastAsia" w:ascii="黑体" w:hAnsi="黑体" w:eastAsia="黑体"/>
          <w:sz w:val="32"/>
          <w:szCs w:val="32"/>
          <w:highlight w:val="none"/>
        </w:rPr>
      </w:pPr>
      <w:bookmarkStart w:id="6" w:name="_Toc29374"/>
      <w:bookmarkStart w:id="7" w:name="_Toc3092"/>
      <w:r>
        <w:rPr>
          <w:rFonts w:hint="default" w:ascii="黑体"/>
          <w:b/>
          <w:kern w:val="44"/>
          <w:sz w:val="28"/>
        </w:rPr>
        <w:br w:type="page"/>
      </w:r>
      <w:r>
        <w:rPr>
          <w:rFonts w:hint="default" w:ascii="黑体"/>
          <w:b/>
          <w:spacing w:val="40"/>
          <w:sz w:val="28"/>
        </w:rPr>
        <w:t xml:space="preserve"> </w:t>
      </w:r>
      <w:r>
        <w:rPr>
          <w:rFonts w:hint="eastAsia" w:ascii="黑体" w:hAnsi="黑体" w:eastAsia="黑体"/>
          <w:sz w:val="32"/>
          <w:szCs w:val="32"/>
          <w:highlight w:val="none"/>
        </w:rPr>
        <w:t>第二部分 部门决算情况说明</w:t>
      </w:r>
      <w:bookmarkEnd w:id="6"/>
      <w:bookmarkEnd w:id="7"/>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rPr>
      </w:pPr>
      <w:bookmarkStart w:id="8" w:name="_Toc25314"/>
      <w:bookmarkStart w:id="9" w:name="_Toc12566"/>
      <w:r>
        <w:rPr>
          <w:rFonts w:hint="eastAsia" w:ascii="黑体" w:hAnsi="黑体" w:eastAsia="黑体" w:cs="宋体"/>
          <w:kern w:val="0"/>
          <w:sz w:val="32"/>
          <w:szCs w:val="32"/>
          <w:highlight w:val="none"/>
        </w:rPr>
        <w:t>一、收入支出决算总体情况说明</w:t>
      </w:r>
      <w:bookmarkEnd w:id="8"/>
      <w:bookmarkEnd w:id="9"/>
    </w:p>
    <w:p>
      <w:pPr>
        <w:keepNext w:val="0"/>
        <w:keepLines w:val="0"/>
        <w:pageBreakBefore w:val="0"/>
        <w:widowControl w:val="0"/>
        <w:kinsoku/>
        <w:wordWrap/>
        <w:overflowPunct/>
        <w:topLinePunct w:val="0"/>
        <w:autoSpaceDE/>
        <w:autoSpaceDN/>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pacing w:val="0"/>
          <w:sz w:val="32"/>
          <w:szCs w:val="32"/>
          <w:highlight w:val="none"/>
        </w:rPr>
        <w:t>2022</w:t>
      </w:r>
      <w:r>
        <w:rPr>
          <w:rFonts w:hint="eastAsia" w:ascii="仿宋_GB2312" w:eastAsia="仿宋_GB2312"/>
          <w:spacing w:val="0"/>
          <w:sz w:val="32"/>
          <w:szCs w:val="32"/>
          <w:highlight w:val="none"/>
          <w:lang w:eastAsia="zh-CN"/>
        </w:rPr>
        <w:t>年度</w:t>
      </w:r>
      <w:r>
        <w:rPr>
          <w:rFonts w:hint="eastAsia" w:ascii="仿宋_GB2312" w:eastAsia="仿宋_GB2312"/>
          <w:sz w:val="32"/>
          <w:szCs w:val="32"/>
          <w:highlight w:val="none"/>
        </w:rPr>
        <w:t>收入总计2,934.23万元</w:t>
      </w:r>
      <w:r>
        <w:rPr>
          <w:rFonts w:hint="eastAsia" w:ascii="仿宋_GB2312" w:eastAsia="仿宋_GB2312"/>
          <w:sz w:val="32"/>
          <w:szCs w:val="32"/>
          <w:highlight w:val="none"/>
          <w:lang w:eastAsia="zh-CN"/>
        </w:rPr>
        <w:t>，其中：本年收入合计2,934.23万元，使用非财政拨款结余0.00万元，年初结转和结余0.00万元。</w:t>
      </w:r>
      <w:r>
        <w:rPr>
          <w:rFonts w:hint="eastAsia" w:ascii="仿宋_GB2312" w:eastAsia="仿宋_GB2312"/>
          <w:sz w:val="32"/>
          <w:szCs w:val="32"/>
          <w:highlight w:val="none"/>
        </w:rPr>
        <w:t>收入总计与上年相比</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减少505.46万元，下降14.69%</w:t>
      </w:r>
      <w:r>
        <w:rPr>
          <w:rFonts w:hint="eastAsia" w:ascii="仿宋_GB2312" w:eastAsia="仿宋_GB2312"/>
          <w:sz w:val="32"/>
          <w:szCs w:val="32"/>
          <w:highlight w:val="none"/>
          <w:lang w:eastAsia="zh-CN"/>
        </w:rPr>
        <w:t>，主要原因是</w:t>
      </w:r>
      <w:r>
        <w:rPr>
          <w:rFonts w:hint="eastAsia" w:ascii="仿宋_GB2312" w:eastAsia="仿宋_GB2312"/>
          <w:sz w:val="32"/>
          <w:szCs w:val="32"/>
          <w:highlight w:val="none"/>
        </w:rPr>
        <w:t>：本年度项目减少，</w:t>
      </w:r>
      <w:r>
        <w:rPr>
          <w:rFonts w:hint="eastAsia" w:ascii="仿宋_GB2312" w:eastAsia="仿宋_GB2312"/>
          <w:sz w:val="32"/>
          <w:szCs w:val="32"/>
          <w:highlight w:val="none"/>
          <w:lang w:eastAsia="zh-CN"/>
        </w:rPr>
        <w:t>收入合计</w:t>
      </w:r>
      <w:r>
        <w:rPr>
          <w:rFonts w:hint="eastAsia" w:ascii="仿宋_GB2312" w:eastAsia="仿宋_GB2312"/>
          <w:sz w:val="32"/>
          <w:szCs w:val="32"/>
          <w:highlight w:val="none"/>
        </w:rPr>
        <w:t>下降。</w:t>
      </w:r>
    </w:p>
    <w:p>
      <w:pPr>
        <w:keepNext w:val="0"/>
        <w:keepLines w:val="0"/>
        <w:pageBreakBefore w:val="0"/>
        <w:widowControl w:val="0"/>
        <w:kinsoku/>
        <w:wordWrap/>
        <w:overflowPunct/>
        <w:topLinePunct w:val="0"/>
        <w:autoSpaceDE/>
        <w:autoSpaceDN/>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pacing w:val="0"/>
          <w:sz w:val="32"/>
          <w:szCs w:val="32"/>
          <w:highlight w:val="none"/>
        </w:rPr>
        <w:t>本年支出总计2,934.23万元</w:t>
      </w:r>
      <w:r>
        <w:rPr>
          <w:rFonts w:hint="eastAsia" w:ascii="仿宋_GB2312" w:eastAsia="仿宋_GB2312"/>
          <w:sz w:val="32"/>
          <w:szCs w:val="32"/>
          <w:highlight w:val="none"/>
          <w:lang w:eastAsia="zh-CN"/>
        </w:rPr>
        <w:t>，其中：本年支出合计2,934.23万元，结余分配0.00万元，年末结转和结余0.00万元。</w:t>
      </w:r>
      <w:r>
        <w:rPr>
          <w:rFonts w:hint="eastAsia" w:ascii="仿宋_GB2312" w:eastAsia="仿宋_GB2312"/>
          <w:sz w:val="32"/>
          <w:szCs w:val="32"/>
          <w:highlight w:val="none"/>
        </w:rPr>
        <w:t>支出总计与上年相比</w:t>
      </w:r>
      <w:r>
        <w:rPr>
          <w:rFonts w:hint="eastAsia" w:ascii="仿宋_GB2312" w:eastAsia="仿宋_GB2312"/>
          <w:sz w:val="32"/>
          <w:szCs w:val="32"/>
          <w:highlight w:val="none"/>
          <w:lang w:eastAsia="zh-CN"/>
        </w:rPr>
        <w:t>，减少505.46万元，下降14.69%，主要原因是</w:t>
      </w:r>
      <w:r>
        <w:rPr>
          <w:rFonts w:hint="eastAsia" w:ascii="仿宋_GB2312" w:eastAsia="仿宋_GB2312"/>
          <w:sz w:val="32"/>
          <w:szCs w:val="32"/>
          <w:highlight w:val="none"/>
        </w:rPr>
        <w:t>：本年度项目减少，</w:t>
      </w:r>
      <w:r>
        <w:rPr>
          <w:rFonts w:hint="eastAsia" w:ascii="仿宋_GB2312" w:eastAsia="仿宋_GB2312"/>
          <w:sz w:val="32"/>
          <w:szCs w:val="32"/>
          <w:highlight w:val="none"/>
          <w:lang w:eastAsia="zh-CN"/>
        </w:rPr>
        <w:t>支出合计</w:t>
      </w:r>
      <w:r>
        <w:rPr>
          <w:rFonts w:hint="eastAsia" w:ascii="仿宋_GB2312" w:eastAsia="仿宋_GB2312"/>
          <w:sz w:val="32"/>
          <w:szCs w:val="32"/>
          <w:highlight w:val="none"/>
        </w:rPr>
        <w:t>下降。</w:t>
      </w:r>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rPr>
      </w:pPr>
      <w:bookmarkStart w:id="10" w:name="_Toc1979"/>
      <w:bookmarkStart w:id="11" w:name="_Toc12142"/>
      <w:r>
        <w:rPr>
          <w:rFonts w:hint="eastAsia" w:ascii="黑体" w:hAnsi="黑体" w:eastAsia="黑体" w:cs="宋体"/>
          <w:kern w:val="0"/>
          <w:sz w:val="32"/>
          <w:szCs w:val="32"/>
          <w:highlight w:val="none"/>
          <w:lang w:eastAsia="zh-CN"/>
        </w:rPr>
        <w:t>二、</w:t>
      </w:r>
      <w:r>
        <w:rPr>
          <w:rFonts w:hint="eastAsia" w:ascii="黑体" w:hAnsi="黑体" w:eastAsia="黑体" w:cs="宋体"/>
          <w:kern w:val="0"/>
          <w:sz w:val="32"/>
          <w:szCs w:val="32"/>
          <w:highlight w:val="none"/>
        </w:rPr>
        <w:t>收入</w:t>
      </w:r>
      <w:r>
        <w:rPr>
          <w:rFonts w:hint="eastAsia" w:ascii="黑体" w:hAnsi="黑体" w:eastAsia="黑体" w:cs="宋体"/>
          <w:kern w:val="0"/>
          <w:sz w:val="32"/>
          <w:szCs w:val="32"/>
          <w:highlight w:val="none"/>
          <w:lang w:eastAsia="zh-CN"/>
        </w:rPr>
        <w:t>决算</w:t>
      </w:r>
      <w:r>
        <w:rPr>
          <w:rFonts w:hint="eastAsia" w:ascii="黑体" w:hAnsi="黑体" w:eastAsia="黑体" w:cs="宋体"/>
          <w:kern w:val="0"/>
          <w:sz w:val="32"/>
          <w:szCs w:val="32"/>
          <w:highlight w:val="none"/>
        </w:rPr>
        <w:t>情况说明</w:t>
      </w:r>
      <w:bookmarkEnd w:id="10"/>
      <w:bookmarkEnd w:id="11"/>
    </w:p>
    <w:p>
      <w:pPr>
        <w:keepNext w:val="0"/>
        <w:keepLines w:val="0"/>
        <w:pageBreakBefore w:val="0"/>
        <w:widowControl w:val="0"/>
        <w:kinsoku/>
        <w:wordWrap/>
        <w:overflowPunct/>
        <w:topLinePunct w:val="0"/>
        <w:autoSpaceDE/>
        <w:autoSpaceDN/>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pacing w:val="0"/>
          <w:sz w:val="32"/>
          <w:szCs w:val="32"/>
          <w:highlight w:val="none"/>
        </w:rPr>
        <w:t>2022</w:t>
      </w:r>
      <w:r>
        <w:rPr>
          <w:rFonts w:hint="eastAsia" w:ascii="仿宋_GB2312" w:eastAsia="仿宋_GB2312"/>
          <w:spacing w:val="0"/>
          <w:sz w:val="32"/>
          <w:szCs w:val="32"/>
          <w:highlight w:val="none"/>
          <w:lang w:eastAsia="zh-CN"/>
        </w:rPr>
        <w:t>年度</w:t>
      </w:r>
      <w:r>
        <w:rPr>
          <w:rFonts w:hint="eastAsia" w:ascii="仿宋_GB2312" w:eastAsia="仿宋_GB2312"/>
          <w:sz w:val="32"/>
          <w:szCs w:val="32"/>
          <w:highlight w:val="none"/>
        </w:rPr>
        <w:t>本年收入2,934.23万元，其中：财政拨款收入2,934.23万元，占100.00%；上级补助收入0.00万元，占0.00%；事业收入0.00万元，占0.00%；经营收入0.00万元，占0.00%；附属单位上缴收入0.00万元，占0.00%；其他收入0.00万元，占0.00%。</w:t>
      </w:r>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bookmarkStart w:id="12" w:name="_Toc13201"/>
      <w:bookmarkStart w:id="13" w:name="_Toc27961"/>
      <w:r>
        <w:rPr>
          <w:rFonts w:hint="eastAsia" w:ascii="黑体" w:hAnsi="黑体" w:eastAsia="黑体" w:cs="宋体"/>
          <w:kern w:val="0"/>
          <w:sz w:val="32"/>
          <w:szCs w:val="32"/>
          <w:highlight w:val="none"/>
          <w:lang w:eastAsia="zh-CN"/>
        </w:rPr>
        <w:t>三、支出决算情况说明</w:t>
      </w:r>
      <w:bookmarkEnd w:id="12"/>
      <w:bookmarkEnd w:id="13"/>
    </w:p>
    <w:p>
      <w:pPr>
        <w:keepNext w:val="0"/>
        <w:keepLines w:val="0"/>
        <w:pageBreakBefore w:val="0"/>
        <w:widowControl w:val="0"/>
        <w:kinsoku/>
        <w:wordWrap/>
        <w:overflowPunct/>
        <w:topLinePunct w:val="0"/>
        <w:autoSpaceDE/>
        <w:autoSpaceDN/>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pacing w:val="0"/>
          <w:sz w:val="32"/>
          <w:szCs w:val="32"/>
          <w:highlight w:val="none"/>
        </w:rPr>
        <w:t>2022</w:t>
      </w:r>
      <w:r>
        <w:rPr>
          <w:rFonts w:hint="eastAsia" w:ascii="仿宋_GB2312" w:eastAsia="仿宋_GB2312"/>
          <w:spacing w:val="0"/>
          <w:sz w:val="32"/>
          <w:szCs w:val="32"/>
          <w:highlight w:val="none"/>
          <w:lang w:eastAsia="zh-CN"/>
        </w:rPr>
        <w:t>年度</w:t>
      </w:r>
      <w:r>
        <w:rPr>
          <w:rFonts w:hint="eastAsia" w:ascii="仿宋_GB2312" w:eastAsia="仿宋_GB2312"/>
          <w:sz w:val="32"/>
          <w:szCs w:val="32"/>
          <w:highlight w:val="none"/>
        </w:rPr>
        <w:t>本年支出2,934.23万元，其中：基本支出269.49万元，占9.18%；项目支出2,664.73万元，占90.82%；上缴上级支出0.00万元，占0.00%；经营支出0.00万元，占0.00%；对附属单位补助支出0.00万元，占0.00%。</w:t>
      </w:r>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bookmarkStart w:id="14" w:name="_Toc4393"/>
      <w:bookmarkStart w:id="15" w:name="_Toc26564"/>
      <w:r>
        <w:rPr>
          <w:rFonts w:hint="eastAsia" w:ascii="黑体" w:hAnsi="黑体" w:eastAsia="黑体" w:cs="宋体"/>
          <w:kern w:val="0"/>
          <w:sz w:val="32"/>
          <w:szCs w:val="32"/>
          <w:highlight w:val="none"/>
          <w:lang w:eastAsia="zh-CN"/>
        </w:rPr>
        <w:t>四、财政拨款收入支出决算总体情况说明</w:t>
      </w:r>
      <w:bookmarkEnd w:id="14"/>
      <w:bookmarkEnd w:id="15"/>
    </w:p>
    <w:p>
      <w:pPr>
        <w:keepNext w:val="0"/>
        <w:keepLines w:val="0"/>
        <w:pageBreakBefore w:val="0"/>
        <w:widowControl w:val="0"/>
        <w:kinsoku/>
        <w:wordWrap/>
        <w:overflowPunct/>
        <w:topLinePunct w:val="0"/>
        <w:autoSpaceDE/>
        <w:autoSpaceDN/>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pacing w:val="0"/>
          <w:sz w:val="32"/>
          <w:szCs w:val="32"/>
          <w:highlight w:val="none"/>
        </w:rPr>
        <w:t>2022</w:t>
      </w:r>
      <w:r>
        <w:rPr>
          <w:rFonts w:hint="eastAsia" w:ascii="仿宋_GB2312" w:eastAsia="仿宋_GB2312"/>
          <w:spacing w:val="0"/>
          <w:sz w:val="32"/>
          <w:szCs w:val="32"/>
          <w:highlight w:val="none"/>
          <w:lang w:eastAsia="zh-CN"/>
        </w:rPr>
        <w:t>年度</w:t>
      </w:r>
      <w:r>
        <w:rPr>
          <w:rFonts w:hint="eastAsia" w:ascii="仿宋_GB2312" w:eastAsia="仿宋_GB2312"/>
          <w:sz w:val="32"/>
          <w:szCs w:val="32"/>
          <w:highlight w:val="none"/>
        </w:rPr>
        <w:t>财政拨款收入总计2,934.23万元，其中：年初财政拨款结转和结余0.00万元，财政拨款本年收入2,934.23万元。财政拨款收入总计与上年相比，减少505.46万元，下降14.69%，</w:t>
      </w:r>
      <w:r>
        <w:rPr>
          <w:rFonts w:hint="eastAsia" w:ascii="仿宋_GB2312" w:eastAsia="仿宋_GB2312"/>
          <w:sz w:val="32"/>
          <w:szCs w:val="32"/>
          <w:highlight w:val="none"/>
          <w:lang w:eastAsia="zh-CN"/>
        </w:rPr>
        <w:t>主要原因是：</w:t>
      </w:r>
      <w:r>
        <w:rPr>
          <w:rFonts w:hint="eastAsia" w:ascii="仿宋_GB2312" w:eastAsia="仿宋_GB2312"/>
          <w:sz w:val="32"/>
          <w:szCs w:val="32"/>
          <w:highlight w:val="none"/>
        </w:rPr>
        <w:t>本年度项目减少，财政收入下降。</w:t>
      </w:r>
    </w:p>
    <w:p>
      <w:pPr>
        <w:keepNext w:val="0"/>
        <w:keepLines w:val="0"/>
        <w:pageBreakBefore w:val="0"/>
        <w:widowControl w:val="0"/>
        <w:kinsoku/>
        <w:wordWrap/>
        <w:overflowPunct/>
        <w:topLinePunct w:val="0"/>
        <w:autoSpaceDE/>
        <w:autoSpaceDN/>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财政拨款支出总计2,934.23万元，其中：年末财政拨款结转和结余0.00万元，财政拨款本年支出2,934.23万元。财政拨款支出总计与上年相比，减少505.46万元，下降14.69%，</w:t>
      </w:r>
      <w:r>
        <w:rPr>
          <w:rFonts w:hint="eastAsia" w:ascii="仿宋_GB2312" w:eastAsia="仿宋_GB2312"/>
          <w:sz w:val="32"/>
          <w:szCs w:val="32"/>
          <w:highlight w:val="none"/>
          <w:lang w:eastAsia="zh-CN"/>
        </w:rPr>
        <w:t>主要原因是：</w:t>
      </w:r>
      <w:r>
        <w:rPr>
          <w:rFonts w:hint="eastAsia" w:ascii="仿宋_GB2312" w:eastAsia="仿宋_GB2312"/>
          <w:sz w:val="32"/>
          <w:szCs w:val="32"/>
          <w:highlight w:val="none"/>
        </w:rPr>
        <w:t>本年度项目减少，财政</w:t>
      </w:r>
      <w:r>
        <w:rPr>
          <w:rFonts w:hint="eastAsia" w:ascii="仿宋_GB2312" w:eastAsia="仿宋_GB2312"/>
          <w:sz w:val="32"/>
          <w:szCs w:val="32"/>
          <w:highlight w:val="none"/>
          <w:lang w:eastAsia="zh-CN"/>
        </w:rPr>
        <w:t>支出</w:t>
      </w:r>
      <w:r>
        <w:rPr>
          <w:rFonts w:hint="eastAsia" w:ascii="仿宋_GB2312" w:eastAsia="仿宋_GB2312"/>
          <w:sz w:val="32"/>
          <w:szCs w:val="32"/>
          <w:highlight w:val="none"/>
        </w:rPr>
        <w:t>下降。</w:t>
      </w:r>
    </w:p>
    <w:p>
      <w:pPr>
        <w:keepNext w:val="0"/>
        <w:keepLines w:val="0"/>
        <w:pageBreakBefore w:val="0"/>
        <w:widowControl w:val="0"/>
        <w:kinsoku/>
        <w:wordWrap/>
        <w:overflowPunct/>
        <w:topLinePunct w:val="0"/>
        <w:autoSpaceDE/>
        <w:autoSpaceDN/>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与年初预算数相比情况：财政拨款收入总计年初预算数224.59万元，决算数2,934.23万元，预决算差异率1,206.48%，</w:t>
      </w:r>
      <w:r>
        <w:rPr>
          <w:rFonts w:hint="eastAsia" w:ascii="仿宋_GB2312" w:eastAsia="仿宋_GB2312"/>
          <w:sz w:val="32"/>
          <w:szCs w:val="32"/>
          <w:highlight w:val="none"/>
          <w:lang w:eastAsia="zh-CN"/>
        </w:rPr>
        <w:t>主要原因是：</w:t>
      </w:r>
      <w:r>
        <w:rPr>
          <w:rFonts w:hint="eastAsia" w:ascii="仿宋_GB2312" w:eastAsia="仿宋_GB2312"/>
          <w:sz w:val="32"/>
          <w:szCs w:val="32"/>
          <w:highlight w:val="none"/>
        </w:rPr>
        <w:t>本年度年中追加了项目支出，项目支出未作预算</w:t>
      </w:r>
      <w:r>
        <w:rPr>
          <w:rFonts w:hint="eastAsia" w:ascii="仿宋_GB2312" w:eastAsia="仿宋_GB2312"/>
          <w:sz w:val="32"/>
          <w:szCs w:val="32"/>
          <w:highlight w:val="none"/>
          <w:lang w:eastAsia="zh-CN"/>
        </w:rPr>
        <w:t>，收入增加，</w:t>
      </w:r>
      <w:r>
        <w:rPr>
          <w:rFonts w:hint="eastAsia" w:ascii="仿宋_GB2312" w:eastAsia="仿宋_GB2312"/>
          <w:sz w:val="32"/>
          <w:szCs w:val="32"/>
          <w:highlight w:val="none"/>
        </w:rPr>
        <w:t>预决算</w:t>
      </w:r>
      <w:r>
        <w:rPr>
          <w:rFonts w:hint="eastAsia" w:ascii="仿宋_GB2312" w:eastAsia="仿宋_GB2312"/>
          <w:sz w:val="32"/>
          <w:szCs w:val="32"/>
          <w:highlight w:val="none"/>
          <w:lang w:eastAsia="zh-CN"/>
        </w:rPr>
        <w:t>存在差异</w:t>
      </w:r>
      <w:r>
        <w:rPr>
          <w:rFonts w:hint="eastAsia" w:ascii="仿宋_GB2312" w:eastAsia="仿宋_GB2312"/>
          <w:sz w:val="32"/>
          <w:szCs w:val="32"/>
          <w:highlight w:val="none"/>
        </w:rPr>
        <w:t>。财政拨款支出总计年初预算数224.59万元，决算数2,934.23万元，预决算差异率1,206.48%，</w:t>
      </w:r>
      <w:r>
        <w:rPr>
          <w:rFonts w:hint="eastAsia" w:ascii="仿宋_GB2312" w:eastAsia="仿宋_GB2312"/>
          <w:sz w:val="32"/>
          <w:szCs w:val="32"/>
          <w:highlight w:val="none"/>
          <w:lang w:eastAsia="zh-CN"/>
        </w:rPr>
        <w:t>主要原因是：</w:t>
      </w:r>
      <w:r>
        <w:rPr>
          <w:rFonts w:hint="eastAsia" w:ascii="仿宋_GB2312" w:eastAsia="仿宋_GB2312"/>
          <w:sz w:val="32"/>
          <w:szCs w:val="32"/>
          <w:highlight w:val="none"/>
        </w:rPr>
        <w:t>本年度年中追加了项目支出，项目支出</w:t>
      </w:r>
      <w:r>
        <w:rPr>
          <w:rFonts w:hint="eastAsia" w:ascii="仿宋_GB2312" w:eastAsia="仿宋_GB2312"/>
          <w:sz w:val="32"/>
          <w:szCs w:val="32"/>
          <w:highlight w:val="none"/>
          <w:lang w:eastAsia="zh-CN"/>
        </w:rPr>
        <w:t>增加，</w:t>
      </w:r>
      <w:r>
        <w:rPr>
          <w:rFonts w:hint="eastAsia" w:ascii="仿宋_GB2312" w:eastAsia="仿宋_GB2312"/>
          <w:sz w:val="32"/>
          <w:szCs w:val="32"/>
          <w:highlight w:val="none"/>
        </w:rPr>
        <w:t>预决算</w:t>
      </w:r>
      <w:r>
        <w:rPr>
          <w:rFonts w:hint="eastAsia" w:ascii="仿宋_GB2312" w:eastAsia="仿宋_GB2312"/>
          <w:sz w:val="32"/>
          <w:szCs w:val="32"/>
          <w:highlight w:val="none"/>
          <w:lang w:eastAsia="zh-CN"/>
        </w:rPr>
        <w:t>存在差异</w:t>
      </w:r>
      <w:r>
        <w:rPr>
          <w:rFonts w:hint="eastAsia" w:ascii="仿宋_GB2312" w:eastAsia="仿宋_GB2312"/>
          <w:sz w:val="32"/>
          <w:szCs w:val="32"/>
          <w:highlight w:val="none"/>
        </w:rPr>
        <w:t>。</w:t>
      </w:r>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bookmarkStart w:id="16" w:name="_Toc13833"/>
      <w:bookmarkStart w:id="17" w:name="_Toc20360"/>
      <w:r>
        <w:rPr>
          <w:rFonts w:hint="eastAsia" w:ascii="黑体" w:hAnsi="黑体" w:eastAsia="黑体" w:cs="宋体"/>
          <w:kern w:val="0"/>
          <w:sz w:val="32"/>
          <w:szCs w:val="32"/>
          <w:highlight w:val="none"/>
          <w:lang w:eastAsia="zh-CN"/>
        </w:rPr>
        <w:t>五、一般公共预算财政拨款支出决算情况说明</w:t>
      </w:r>
      <w:bookmarkEnd w:id="16"/>
      <w:bookmarkEnd w:id="17"/>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r>
        <w:rPr>
          <w:rFonts w:hint="eastAsia" w:ascii="黑体" w:hAnsi="黑体" w:eastAsia="黑体" w:cs="宋体"/>
          <w:kern w:val="0"/>
          <w:sz w:val="32"/>
          <w:szCs w:val="32"/>
          <w:highlight w:val="none"/>
          <w:lang w:eastAsia="zh-CN"/>
        </w:rPr>
        <w:t>（一）一般公共预算财政拨款支出决算总体情况</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pacing w:val="0"/>
          <w:sz w:val="32"/>
          <w:szCs w:val="32"/>
          <w:highlight w:val="none"/>
        </w:rPr>
        <w:t>2022</w:t>
      </w:r>
      <w:r>
        <w:rPr>
          <w:rFonts w:hint="eastAsia" w:ascii="仿宋_GB2312" w:eastAsia="仿宋_GB2312"/>
          <w:spacing w:val="0"/>
          <w:sz w:val="32"/>
          <w:szCs w:val="32"/>
          <w:highlight w:val="none"/>
          <w:lang w:eastAsia="zh-CN"/>
        </w:rPr>
        <w:t>年度</w:t>
      </w:r>
      <w:r>
        <w:rPr>
          <w:rFonts w:hint="eastAsia" w:ascii="仿宋_GB2312" w:eastAsia="仿宋_GB2312"/>
          <w:sz w:val="32"/>
          <w:szCs w:val="32"/>
          <w:highlight w:val="none"/>
        </w:rPr>
        <w:t>一般公共预算财政拨款支出2,269.19万元，占本年支出合计的77.34%，与上年相比，减少1,062.63万元，下降31.89%，主要原因是：本年度项目减少，</w:t>
      </w:r>
      <w:r>
        <w:rPr>
          <w:rFonts w:hint="eastAsia" w:ascii="仿宋_GB2312" w:eastAsia="仿宋_GB2312"/>
          <w:sz w:val="32"/>
          <w:szCs w:val="32"/>
          <w:highlight w:val="none"/>
          <w:lang w:val="en-US" w:eastAsia="zh-CN"/>
        </w:rPr>
        <w:t>一</w:t>
      </w:r>
      <w:r>
        <w:rPr>
          <w:rFonts w:hint="eastAsia" w:ascii="仿宋_GB2312" w:eastAsia="仿宋_GB2312"/>
          <w:sz w:val="32"/>
          <w:szCs w:val="32"/>
          <w:highlight w:val="none"/>
        </w:rPr>
        <w:t>般公共预算财政拨款支出下降。</w:t>
      </w:r>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r>
        <w:rPr>
          <w:rFonts w:hint="eastAsia" w:ascii="黑体" w:hAnsi="黑体" w:eastAsia="黑体" w:cs="宋体"/>
          <w:kern w:val="0"/>
          <w:sz w:val="32"/>
          <w:szCs w:val="32"/>
          <w:highlight w:val="none"/>
          <w:lang w:eastAsia="zh-CN"/>
        </w:rPr>
        <w:t>（二）一般公共预算财政拨款支出决算结构情况</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val="en-US" w:eastAsia="zh-CN"/>
        </w:rPr>
        <w:t>1.一般公共服务支出（类）246.71万元，占10.87%。</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val="en-US" w:eastAsia="zh-CN"/>
        </w:rPr>
        <w:t>2.社会保障和就业支出（类）26.39万元，占1.16%。</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val="en-US" w:eastAsia="zh-CN"/>
        </w:rPr>
        <w:t>3.卫生健康支出（类）14.29万元，占0.63%。</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val="en-US" w:eastAsia="zh-CN"/>
        </w:rPr>
        <w:t>4.农林水支出（类）1,966.31万元，占86.65%。</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val="en-US" w:eastAsia="zh-CN"/>
        </w:rPr>
        <w:t>5.住房保障支出（类）15.48万元，占0.69%。</w:t>
      </w:r>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r>
        <w:rPr>
          <w:rFonts w:hint="eastAsia" w:ascii="黑体" w:hAnsi="黑体" w:eastAsia="黑体" w:cs="宋体"/>
          <w:kern w:val="0"/>
          <w:sz w:val="32"/>
          <w:szCs w:val="32"/>
          <w:highlight w:val="none"/>
          <w:lang w:eastAsia="zh-CN"/>
        </w:rPr>
        <w:t>（三）一般公共预算财政拨款支出决算具体情况</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val="en-US" w:eastAsia="zh-CN"/>
        </w:rPr>
        <w:t>1.一般公共服务支出（类）政府办公厅（室）及相关机构事务（款）行政运行（项）：支出决算数为215.71万元，比上年决算增加98.48万元，增长84.01%，主要原因是：本年度新招录2人，人员变动及工资正常晋升，人员类支出增加。</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val="en-US" w:eastAsia="zh-CN"/>
        </w:rPr>
        <w:t>2.一般公共服务支出（类）政府办公厅（室）及相关机构事务（款）其他政府办公厅（室）及相关机构事务支出（项）：支出决算数为31.00万元，比上年决算增加4.0万元，增长14.81%，主要原因是：本年度政府项目增加，一般公共预算财政拨款支出增加。</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val="en-US" w:eastAsia="zh-CN"/>
        </w:rPr>
        <w:t>3.社会保障和就业支出（类）行政事业单位养老支出（款）行政单位离退休（项）：支出决算数为8.98万元，比上年决算增加1.01万元，增长12.67%，主要原因是：本年度新增退休人员1人，支出增加。</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val="en-US" w:eastAsia="zh-CN"/>
        </w:rPr>
        <w:t>4.社会保障和就业支出（类）行政事业单位养老支出（款）机关事业单位基本养老保险缴费支出（项）：支出决算数为17.41万元，比上年决算增加4.9万元，增长39.17%，主要原因是：本年度新招录2人，人员变动及工资正常晋升，养老基数较上年增长，所以较上年增加。</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val="en-US" w:eastAsia="zh-CN"/>
        </w:rPr>
        <w:t>5.卫生健康支出（类）公共卫生（款）突发公共卫生事件应急处理（项）：支出决算数为2.38万元，比上年决算增加2.38万元，增长100%，主要原因是：本年度发生突发公共卫生事件支出。</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val="en-US" w:eastAsia="zh-CN"/>
        </w:rPr>
        <w:t>6.卫生健康支出（类）行政事业单位医疗（款）行政单位医疗（项）：支出决算数为8.29万元，比上年决算增加1.08万元，增长14.98%，主要原因是本年度新招录2人，人员变动及工资正常晋升，医疗较上年增长，所以较上年增加。</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val="en-US" w:eastAsia="zh-CN"/>
        </w:rPr>
        <w:t>7.卫生健康支出（类）行政事业单位医疗（款）公务员医疗补助（项）：支出决算数为3.62万元，比上年决算增加1.12万元，增长44.80%，主要原因是：本年度新招录2人，人员变动及工资正常晋升，公务员医疗基数较上年增长，所以较上年增加。</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val="en-US" w:eastAsia="zh-CN"/>
        </w:rPr>
        <w:t>8.农林水支出（类）巩固脱贫衔接乡村振兴（款）农村基础设施建设（项）：支出决算数为1,777.21万元，比上年决算减少937.25万元，下降34.53%，主要原因是：本年度农村基础设施建设项目减少塔地财扶【2021】5号2021年中央财政衔接推进乡村振兴补助资金，减少塔地财预【2021】34号扶贫债券资金、塔地财扶【2019】32号、【2020】4号中央财政专项扶贫资金。</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val="en-US" w:eastAsia="zh-CN"/>
        </w:rPr>
        <w:t>9.农林水支出（类）巩固脱贫衔接乡村振兴（款）生产发展（项）：支出决算数为124.10万元，比上年决算增加28.25万元，增长29.47%，主要原因是：本年度农村基础设施建设项目支出增加喀拉也木勒镇易地搬迁安置区供水工程建设与改造项目。</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val="en-US" w:eastAsia="zh-CN"/>
        </w:rPr>
        <w:t>10.农林水支出（类）农村综合改革（款）对村级公益事业建设的补助（项）：支出决算数为65.00万元，比上年决算减少8.41万元，下降11.46%，主要原因是：本年度对村级公益事业建设项目支出较上年有所减少。</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val="en-US" w:eastAsia="zh-CN"/>
        </w:rPr>
      </w:pPr>
      <w:r>
        <w:rPr>
          <w:rFonts w:hint="eastAsia" w:ascii="仿宋_GB2312" w:eastAsia="仿宋_GB2312"/>
          <w:sz w:val="32"/>
          <w:szCs w:val="32"/>
          <w:highlight w:val="none"/>
          <w:lang w:val="en-US" w:eastAsia="zh-CN"/>
        </w:rPr>
        <w:t>11.住房保障支出（类）住房改革支出（款）住房公积金（项）：支出决算数为15.48万元，比上年决算增加6.36万元，增长69.74%，主要原因是：本年度新招录2人，人员变动及工资正常晋升，住房公积金支出增加。</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val="en-US" w:eastAsia="zh-CN"/>
        </w:rPr>
        <w:t>12.一般公共服务支出（类）组织事务（款）其他组织事务支出（项）：支出决算数为0万元，比上年决算减少6.68万元，下降100%，主要原因是：本年度未发生</w:t>
      </w:r>
      <w:r>
        <w:rPr>
          <w:rFonts w:hint="default" w:ascii="仿宋_GB2312" w:eastAsia="仿宋_GB2312"/>
          <w:sz w:val="32"/>
          <w:szCs w:val="32"/>
          <w:highlight w:val="none"/>
          <w:lang w:val="en-US" w:eastAsia="zh-CN"/>
        </w:rPr>
        <w:t>“</w:t>
      </w:r>
      <w:r>
        <w:rPr>
          <w:rFonts w:hint="eastAsia" w:ascii="仿宋_GB2312" w:eastAsia="仿宋_GB2312"/>
          <w:sz w:val="32"/>
          <w:szCs w:val="32"/>
          <w:highlight w:val="none"/>
          <w:lang w:val="en-US" w:eastAsia="zh-CN"/>
        </w:rPr>
        <w:t>访惠聚”驻村工作队补助金项目，所以较上年减少。</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val="en-US" w:eastAsia="zh-CN"/>
        </w:rPr>
      </w:pPr>
      <w:r>
        <w:rPr>
          <w:rFonts w:hint="eastAsia" w:ascii="仿宋_GB2312" w:eastAsia="仿宋_GB2312"/>
          <w:sz w:val="32"/>
          <w:szCs w:val="32"/>
          <w:highlight w:val="none"/>
          <w:lang w:val="en-US" w:eastAsia="zh-CN"/>
        </w:rPr>
        <w:t>13.文化旅游体育与传媒支出（类）其他文化旅游体育与传媒支出（款）其他文化旅游体育与传媒支出（项）：支出决算数为0万元，比上年决算减少67.97万元，下降100%，主要原因是：本年度未发生（塔地财教【2019】72号、【2020】64号）2021年中央补助地方文化服务体系建设补助资金项目，所以较上年减少。</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val="en-US" w:eastAsia="zh-CN"/>
        </w:rPr>
        <w:t>14.城乡社区支出（类）城乡社区公共设施（款）小城镇基础设施建设（项）：支出决算数为0万元，比上年决算减少39.81万元，下降100%，主要原因是：本年度未发生塔地财建【2015】80号2015年惠民生项目，所以较上年减少。</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val="en-US" w:eastAsia="zh-CN"/>
        </w:rPr>
        <w:t>15.农林水支出（类）农业农村（款）对高校毕业生到基层任职补助（项）：支出决算数为0万元，比上年决算减少0.12万元，下降100%，主要原因是：本年度无天池计划人员，补助减少，所以较上年减少。</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val="en-US" w:eastAsia="zh-CN"/>
        </w:rPr>
        <w:t>16.农林水支出（类）农村综合改革（款）对村集体经济组织的补助（项）：</w:t>
      </w:r>
      <w:bookmarkStart w:id="18" w:name="_Toc30870"/>
      <w:bookmarkStart w:id="19" w:name="_Toc11146"/>
      <w:r>
        <w:rPr>
          <w:rFonts w:hint="eastAsia" w:ascii="仿宋_GB2312" w:eastAsia="仿宋_GB2312"/>
          <w:sz w:val="32"/>
          <w:szCs w:val="32"/>
          <w:highlight w:val="none"/>
          <w:lang w:val="en-US" w:eastAsia="zh-CN"/>
        </w:rPr>
        <w:t>支出决算数为0万元，比上年决算减少150万元，下降100%，主要原因是：本年度无塔地财乡【2020】7号2021年中央农村综合改革转移支付资金，所以较上年减少。</w:t>
      </w:r>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r>
        <w:rPr>
          <w:rFonts w:hint="eastAsia" w:ascii="黑体" w:hAnsi="黑体" w:eastAsia="黑体" w:cs="宋体"/>
          <w:kern w:val="0"/>
          <w:sz w:val="32"/>
          <w:szCs w:val="32"/>
          <w:highlight w:val="none"/>
          <w:lang w:eastAsia="zh-CN"/>
        </w:rPr>
        <w:t>六、一般公共预算财政拨款基本支出决算情况说明</w:t>
      </w:r>
      <w:bookmarkEnd w:id="18"/>
      <w:bookmarkEnd w:id="19"/>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2022年度一般公共预算财政拨款基本支出269.49万元，其中：</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rPr>
        <w:t>人员经费261.33万元，包括：基本工资、津贴补贴、奖金、机关事业单位基本养老保险缴费、职工基本医疗保险缴费、公务员医疗补助缴费、其他社会保障缴费、住房公积金、退休费、生活补助、奖励金。</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rPr>
        <w:t>公用经费8.17万元，包括：办公费、劳务费、公务用车运行维护费。</w:t>
      </w:r>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bookmarkStart w:id="20" w:name="_Toc7190"/>
      <w:bookmarkStart w:id="21" w:name="_Toc21518"/>
      <w:r>
        <w:rPr>
          <w:rFonts w:hint="eastAsia" w:ascii="黑体" w:hAnsi="黑体" w:eastAsia="黑体" w:cs="宋体"/>
          <w:kern w:val="0"/>
          <w:sz w:val="32"/>
          <w:szCs w:val="32"/>
          <w:highlight w:val="none"/>
          <w:lang w:eastAsia="zh-CN"/>
        </w:rPr>
        <w:t>七</w:t>
      </w:r>
      <w:r>
        <w:rPr>
          <w:rFonts w:hint="eastAsia" w:ascii="黑体" w:hAnsi="黑体" w:eastAsia="黑体" w:cs="宋体"/>
          <w:kern w:val="0"/>
          <w:sz w:val="32"/>
          <w:szCs w:val="32"/>
          <w:highlight w:val="none"/>
        </w:rPr>
        <w:t>、</w:t>
      </w:r>
      <w:r>
        <w:rPr>
          <w:rFonts w:hint="eastAsia" w:ascii="黑体" w:hAnsi="黑体" w:eastAsia="黑体" w:cs="宋体"/>
          <w:kern w:val="0"/>
          <w:sz w:val="32"/>
          <w:szCs w:val="32"/>
          <w:highlight w:val="none"/>
          <w:lang w:eastAsia="zh-CN"/>
        </w:rPr>
        <w:t>财政拨款</w:t>
      </w:r>
      <w:r>
        <w:rPr>
          <w:rFonts w:hint="eastAsia" w:ascii="黑体" w:hAnsi="黑体" w:eastAsia="黑体" w:cs="宋体"/>
          <w:kern w:val="0"/>
          <w:sz w:val="32"/>
          <w:szCs w:val="32"/>
          <w:highlight w:val="none"/>
        </w:rPr>
        <w:t>“三公”经费支出</w:t>
      </w:r>
      <w:r>
        <w:rPr>
          <w:rFonts w:hint="eastAsia" w:ascii="黑体" w:hAnsi="黑体" w:eastAsia="黑体" w:cs="宋体"/>
          <w:kern w:val="0"/>
          <w:sz w:val="32"/>
          <w:szCs w:val="32"/>
          <w:highlight w:val="none"/>
          <w:lang w:eastAsia="zh-CN"/>
        </w:rPr>
        <w:t>决算</w:t>
      </w:r>
      <w:r>
        <w:rPr>
          <w:rFonts w:hint="eastAsia" w:ascii="黑体" w:hAnsi="黑体" w:eastAsia="黑体" w:cs="宋体"/>
          <w:kern w:val="0"/>
          <w:sz w:val="32"/>
          <w:szCs w:val="32"/>
          <w:highlight w:val="none"/>
        </w:rPr>
        <w:t>情况</w:t>
      </w:r>
      <w:r>
        <w:rPr>
          <w:rFonts w:hint="eastAsia" w:ascii="黑体" w:hAnsi="黑体" w:eastAsia="黑体" w:cs="宋体"/>
          <w:kern w:val="0"/>
          <w:sz w:val="32"/>
          <w:szCs w:val="32"/>
          <w:highlight w:val="none"/>
          <w:lang w:eastAsia="zh-CN"/>
        </w:rPr>
        <w:t>说明</w:t>
      </w:r>
      <w:bookmarkEnd w:id="20"/>
      <w:bookmarkEnd w:id="21"/>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pacing w:val="0"/>
          <w:sz w:val="32"/>
          <w:szCs w:val="32"/>
          <w:highlight w:val="none"/>
        </w:rPr>
        <w:t>2022</w:t>
      </w:r>
      <w:r>
        <w:rPr>
          <w:rFonts w:hint="eastAsia" w:ascii="仿宋_GB2312" w:eastAsia="仿宋_GB2312"/>
          <w:spacing w:val="0"/>
          <w:sz w:val="32"/>
          <w:szCs w:val="32"/>
          <w:highlight w:val="none"/>
          <w:lang w:eastAsia="zh-CN"/>
        </w:rPr>
        <w:t>年度</w:t>
      </w:r>
      <w:r>
        <w:rPr>
          <w:rFonts w:hint="eastAsia" w:ascii="仿宋_GB2312" w:eastAsia="仿宋_GB2312"/>
          <w:sz w:val="32"/>
          <w:szCs w:val="32"/>
          <w:highlight w:val="none"/>
        </w:rPr>
        <w:t>财政拨款“三公”经费支出决算2.38万元，比上年增加2.38万元，增长100%，主要原因是：</w:t>
      </w:r>
      <w:r>
        <w:rPr>
          <w:rFonts w:hint="eastAsia" w:ascii="仿宋_GB2312" w:eastAsia="仿宋_GB2312"/>
          <w:sz w:val="32"/>
          <w:szCs w:val="32"/>
          <w:highlight w:val="none"/>
          <w:lang w:eastAsia="zh-CN"/>
        </w:rPr>
        <w:t>疫情期间，公务用车使用增加，“三公”经费增长</w:t>
      </w:r>
      <w:r>
        <w:rPr>
          <w:rFonts w:hint="eastAsia" w:ascii="仿宋_GB2312" w:eastAsia="仿宋_GB2312"/>
          <w:sz w:val="32"/>
          <w:szCs w:val="32"/>
          <w:highlight w:val="none"/>
        </w:rPr>
        <w:t>。其中：因公出国（境）费支出0.00万元，占0.00%，比上年增加0.00万元，增长0.00%，主要原因是：我单位无因公出国（境）费支出；公务用车购置及运行维护费支出2.38万元，占100.00%，比上年增加2.38万元，增长100%，主要原因是：</w:t>
      </w:r>
      <w:r>
        <w:rPr>
          <w:rFonts w:hint="eastAsia" w:ascii="仿宋_GB2312" w:eastAsia="仿宋_GB2312"/>
          <w:sz w:val="32"/>
          <w:szCs w:val="32"/>
          <w:highlight w:val="none"/>
          <w:lang w:eastAsia="zh-CN"/>
        </w:rPr>
        <w:t>疫情期间，公务用车使用增加</w:t>
      </w:r>
      <w:r>
        <w:rPr>
          <w:rFonts w:hint="eastAsia" w:ascii="仿宋_GB2312" w:eastAsia="仿宋_GB2312"/>
          <w:sz w:val="32"/>
          <w:szCs w:val="32"/>
          <w:highlight w:val="none"/>
        </w:rPr>
        <w:t>，支出为车辆加油费；公务接待费支出0.00万元，占0.00%，比上年增加0.00万元，增长0.00%，主要原因是：我单位无公务接待费支出。具体情况如下：</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因公出国（境）费支出0.00万元，开支内容包括我单位无因公出国（境）费支出。单位全年安排的因公出国（境）团组0个，因公出国（境）0人次。</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公务用车购置及运行维护费2.38万元，其中：公务用车购置费0.00万元，公务用车运行维护费2.38万元。公务用车运行维护费开支内容包括</w:t>
      </w:r>
      <w:bookmarkStart w:id="54" w:name="_GoBack"/>
      <w:bookmarkEnd w:id="54"/>
      <w:r>
        <w:rPr>
          <w:rFonts w:hint="eastAsia" w:ascii="仿宋_GB2312" w:eastAsia="仿宋_GB2312"/>
          <w:sz w:val="32"/>
          <w:szCs w:val="32"/>
          <w:highlight w:val="none"/>
        </w:rPr>
        <w:t>车辆加油费。公务用车购置数0辆，公务用车保有量2辆。</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公务接待费0.00万元，开支内容包括我单位无公务接待费。单位全年安排的国内公务接待0批次，0人次。</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与全年预算数相比情况：“三公”经费支出全年预算数2.38万元，决算数2.38万元，预决算差异率0.00%，主要原因是：</w:t>
      </w:r>
      <w:r>
        <w:rPr>
          <w:rFonts w:hint="eastAsia" w:ascii="仿宋_GB2312" w:eastAsia="仿宋_GB2312"/>
          <w:sz w:val="32"/>
          <w:szCs w:val="32"/>
          <w:highlight w:val="none"/>
          <w:lang w:eastAsia="zh-CN"/>
        </w:rPr>
        <w:t>严格按照预算执行，预决算无差异</w:t>
      </w:r>
      <w:r>
        <w:rPr>
          <w:rFonts w:hint="eastAsia" w:ascii="仿宋_GB2312" w:eastAsia="仿宋_GB2312"/>
          <w:sz w:val="32"/>
          <w:szCs w:val="32"/>
          <w:highlight w:val="none"/>
        </w:rPr>
        <w:t>。</w:t>
      </w:r>
      <w:r>
        <w:rPr>
          <w:rFonts w:hint="eastAsia" w:ascii="仿宋_GB2312" w:eastAsia="仿宋_GB2312"/>
          <w:sz w:val="32"/>
          <w:szCs w:val="32"/>
          <w:highlight w:val="none"/>
          <w:lang w:eastAsia="zh-CN"/>
        </w:rPr>
        <w:t>其中：因公出国（境）费全年预算数0.00万元，决算数0.00万元，预决算差异率0.00%，主要原因是：我单位未安排因公出国（境）费支出，预决算无差异；</w:t>
      </w:r>
      <w:r>
        <w:rPr>
          <w:rFonts w:hint="eastAsia" w:ascii="仿宋_GB2312" w:eastAsia="仿宋_GB2312"/>
          <w:sz w:val="32"/>
          <w:szCs w:val="32"/>
          <w:highlight w:val="none"/>
        </w:rPr>
        <w:t>公务用车购置费全年预算数0.00万元，决算数0.00万元，预决算差异率0.00%，主要原因是：我单位未安排公务用车购置费</w:t>
      </w:r>
      <w:r>
        <w:rPr>
          <w:rFonts w:hint="eastAsia" w:ascii="仿宋_GB2312" w:eastAsia="仿宋_GB2312"/>
          <w:sz w:val="32"/>
          <w:szCs w:val="32"/>
          <w:highlight w:val="none"/>
          <w:lang w:eastAsia="zh-CN"/>
        </w:rPr>
        <w:t>支出</w:t>
      </w:r>
      <w:r>
        <w:rPr>
          <w:rFonts w:hint="eastAsia" w:ascii="仿宋_GB2312" w:eastAsia="仿宋_GB2312"/>
          <w:sz w:val="32"/>
          <w:szCs w:val="32"/>
          <w:highlight w:val="none"/>
        </w:rPr>
        <w:t>，预决算无差异；</w:t>
      </w:r>
      <w:r>
        <w:rPr>
          <w:rFonts w:hint="eastAsia" w:ascii="仿宋_GB2312" w:hAnsi="宋体" w:eastAsia="仿宋_GB2312" w:cs="宋体"/>
          <w:kern w:val="0"/>
          <w:sz w:val="32"/>
          <w:szCs w:val="32"/>
          <w:highlight w:val="none"/>
        </w:rPr>
        <w:t>公务用车运行费全年预算数2.38万元，决算数2.38万元，预决算差异率0.00%，主要原因是：公务用车运行费预算数和决算数无变化，预决算无差异；</w:t>
      </w:r>
      <w:r>
        <w:rPr>
          <w:rFonts w:hint="eastAsia" w:ascii="仿宋_GB2312" w:eastAsia="仿宋_GB2312"/>
          <w:sz w:val="32"/>
          <w:szCs w:val="32"/>
          <w:highlight w:val="none"/>
        </w:rPr>
        <w:t>公务接待费全年预算数0.00万元，决算数0.00万元，预决算差异率0.00%，主要原因是：我单位未安排公务接待费</w:t>
      </w:r>
      <w:r>
        <w:rPr>
          <w:rFonts w:hint="eastAsia" w:ascii="仿宋_GB2312" w:eastAsia="仿宋_GB2312"/>
          <w:sz w:val="32"/>
          <w:szCs w:val="32"/>
          <w:highlight w:val="none"/>
          <w:lang w:eastAsia="zh-CN"/>
        </w:rPr>
        <w:t>支出</w:t>
      </w:r>
      <w:r>
        <w:rPr>
          <w:rFonts w:hint="eastAsia" w:ascii="仿宋_GB2312" w:eastAsia="仿宋_GB2312"/>
          <w:sz w:val="32"/>
          <w:szCs w:val="32"/>
          <w:highlight w:val="none"/>
        </w:rPr>
        <w:t>，预决算无差异。</w:t>
      </w:r>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bookmarkStart w:id="22" w:name="_Toc5810"/>
      <w:bookmarkStart w:id="23" w:name="_Toc7927"/>
      <w:r>
        <w:rPr>
          <w:rFonts w:hint="eastAsia" w:ascii="黑体" w:hAnsi="黑体" w:eastAsia="黑体" w:cs="宋体"/>
          <w:kern w:val="0"/>
          <w:sz w:val="32"/>
          <w:szCs w:val="32"/>
          <w:highlight w:val="none"/>
          <w:lang w:eastAsia="zh-CN"/>
        </w:rPr>
        <w:t>八、政府性基金预算财政拨款收入支出决算情况说明</w:t>
      </w:r>
      <w:bookmarkEnd w:id="22"/>
      <w:bookmarkEnd w:id="23"/>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pacing w:val="0"/>
          <w:sz w:val="32"/>
          <w:szCs w:val="32"/>
          <w:highlight w:val="none"/>
        </w:rPr>
        <w:t>2022年度政府性基金预算年初结转和结余0.00万元，财政拨款收入665.04万元，与上年相比，增加557.17万元，增长516.52%。主要原因是：本单位今年新增养殖园区项目</w:t>
      </w:r>
      <w:r>
        <w:rPr>
          <w:rFonts w:hint="eastAsia" w:ascii="仿宋_GB2312" w:eastAsia="仿宋_GB2312"/>
          <w:spacing w:val="0"/>
          <w:sz w:val="32"/>
          <w:szCs w:val="32"/>
          <w:highlight w:val="none"/>
          <w:lang w:eastAsia="zh-CN"/>
        </w:rPr>
        <w:t>，支出增加</w:t>
      </w:r>
      <w:r>
        <w:rPr>
          <w:rFonts w:hint="eastAsia" w:ascii="仿宋_GB2312" w:eastAsia="仿宋_GB2312"/>
          <w:spacing w:val="0"/>
          <w:sz w:val="32"/>
          <w:szCs w:val="32"/>
          <w:highlight w:val="none"/>
        </w:rPr>
        <w:t>。政府性基金预算年末结转结余0.00万元，财政拨款支出665.04万元，与上年相比，增加557.17万元，增长516.52%。主要原因是：本单位今年新增养殖园区项目</w:t>
      </w:r>
      <w:r>
        <w:rPr>
          <w:rFonts w:hint="eastAsia" w:ascii="仿宋_GB2312" w:eastAsia="仿宋_GB2312"/>
          <w:spacing w:val="0"/>
          <w:sz w:val="32"/>
          <w:szCs w:val="32"/>
          <w:highlight w:val="none"/>
          <w:lang w:eastAsia="zh-CN"/>
        </w:rPr>
        <w:t>，支出增加</w:t>
      </w:r>
      <w:r>
        <w:rPr>
          <w:rFonts w:hint="eastAsia" w:ascii="仿宋_GB2312" w:eastAsia="仿宋_GB2312"/>
          <w:spacing w:val="0"/>
          <w:sz w:val="32"/>
          <w:szCs w:val="32"/>
          <w:highlight w:val="none"/>
        </w:rPr>
        <w:t>。</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pacing w:val="0"/>
          <w:sz w:val="32"/>
          <w:szCs w:val="32"/>
          <w:highlight w:val="none"/>
        </w:rPr>
        <w:t>政府性基金预算财政拨款支出665.04万元。</w:t>
      </w:r>
      <w:r>
        <w:rPr>
          <w:rFonts w:hint="eastAsia" w:ascii="仿宋_GB2312" w:eastAsia="仿宋_GB2312"/>
          <w:sz w:val="32"/>
          <w:szCs w:val="32"/>
        </w:rPr>
        <w:t>按功能分类科目</w:t>
      </w:r>
      <w:r>
        <w:rPr>
          <w:rFonts w:hint="eastAsia" w:ascii="仿宋_GB2312" w:eastAsia="仿宋_GB2312"/>
          <w:sz w:val="32"/>
          <w:szCs w:val="32"/>
          <w:lang w:eastAsia="zh-CN"/>
        </w:rPr>
        <w:t>项</w:t>
      </w:r>
      <w:r>
        <w:rPr>
          <w:rFonts w:hint="eastAsia" w:ascii="仿宋_GB2312" w:eastAsia="仿宋_GB2312"/>
          <w:sz w:val="32"/>
          <w:szCs w:val="32"/>
        </w:rPr>
        <w:t>级科目公开</w:t>
      </w:r>
      <w:r>
        <w:rPr>
          <w:rFonts w:hint="eastAsia" w:ascii="仿宋_GB2312" w:eastAsia="仿宋_GB2312"/>
          <w:sz w:val="32"/>
          <w:szCs w:val="32"/>
          <w:lang w:eastAsia="zh-CN"/>
        </w:rPr>
        <w:t>，</w:t>
      </w:r>
      <w:r>
        <w:rPr>
          <w:rFonts w:hint="eastAsia" w:ascii="仿宋_GB2312" w:eastAsia="仿宋_GB2312"/>
          <w:sz w:val="32"/>
          <w:szCs w:val="32"/>
          <w:highlight w:val="none"/>
          <w:lang w:eastAsia="zh-CN"/>
        </w:rPr>
        <w:t>其中：</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val="en-US" w:eastAsia="zh-CN"/>
        </w:rPr>
        <w:t>2290402其他地方自行试点项目收益专项债券收入安排的支出665.04万元。</w:t>
      </w:r>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r>
        <w:rPr>
          <w:rFonts w:hint="eastAsia" w:ascii="黑体" w:hAnsi="黑体" w:eastAsia="黑体" w:cs="宋体"/>
          <w:kern w:val="0"/>
          <w:sz w:val="32"/>
          <w:szCs w:val="32"/>
          <w:highlight w:val="none"/>
          <w:lang w:eastAsia="zh-CN"/>
        </w:rPr>
        <w:t>九、国有资本经营预算财政拨款收入支出决算情况说明</w:t>
      </w:r>
    </w:p>
    <w:p>
      <w:pPr>
        <w:keepNext w:val="0"/>
        <w:keepLines w:val="0"/>
        <w:pageBreakBefore w:val="0"/>
        <w:widowControl w:val="0"/>
        <w:numPr>
          <w:ilvl w:val="0"/>
          <w:numId w:val="0"/>
        </w:numPr>
        <w:kinsoku/>
        <w:wordWrap/>
        <w:overflowPunct/>
        <w:topLinePunct w:val="0"/>
        <w:autoSpaceDE/>
        <w:autoSpaceDN/>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我单位本年度无国有资本经营预算财政拨款收入、支出及结转和结余，</w:t>
      </w:r>
      <w:r>
        <w:rPr>
          <w:rFonts w:hint="eastAsia" w:ascii="仿宋_GB2312" w:eastAsia="仿宋_GB2312"/>
          <w:sz w:val="32"/>
          <w:szCs w:val="32"/>
          <w:highlight w:val="none"/>
        </w:rPr>
        <w:t>国有资本经营预算财政拨款收入支出决算表为空表。</w:t>
      </w:r>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bookmarkStart w:id="24" w:name="_Toc7314"/>
      <w:bookmarkStart w:id="25" w:name="_Toc1235"/>
      <w:r>
        <w:rPr>
          <w:rFonts w:hint="eastAsia" w:ascii="黑体" w:hAnsi="黑体" w:eastAsia="黑体" w:cs="宋体"/>
          <w:kern w:val="0"/>
          <w:sz w:val="32"/>
          <w:szCs w:val="32"/>
          <w:highlight w:val="none"/>
          <w:lang w:eastAsia="zh-CN"/>
        </w:rPr>
        <w:t>十</w:t>
      </w:r>
      <w:r>
        <w:rPr>
          <w:rFonts w:hint="eastAsia" w:ascii="黑体" w:hAnsi="黑体" w:eastAsia="黑体" w:cs="宋体"/>
          <w:kern w:val="0"/>
          <w:sz w:val="32"/>
          <w:szCs w:val="32"/>
          <w:highlight w:val="none"/>
        </w:rPr>
        <w:t>、其他重要事项的情况</w:t>
      </w:r>
      <w:r>
        <w:rPr>
          <w:rFonts w:hint="eastAsia" w:ascii="黑体" w:hAnsi="黑体" w:eastAsia="黑体" w:cs="宋体"/>
          <w:kern w:val="0"/>
          <w:sz w:val="32"/>
          <w:szCs w:val="32"/>
          <w:highlight w:val="none"/>
          <w:lang w:eastAsia="zh-CN"/>
        </w:rPr>
        <w:t>说明</w:t>
      </w:r>
      <w:bookmarkEnd w:id="24"/>
      <w:bookmarkEnd w:id="25"/>
    </w:p>
    <w:p>
      <w:pPr>
        <w:keepNext w:val="0"/>
        <w:keepLines w:val="0"/>
        <w:pageBreakBefore w:val="0"/>
        <w:widowControl w:val="0"/>
        <w:kinsoku/>
        <w:wordWrap/>
        <w:overflowPunct/>
        <w:topLinePunct w:val="0"/>
        <w:autoSpaceDE/>
        <w:autoSpaceDN/>
        <w:adjustRightInd/>
        <w:snapToGrid/>
        <w:spacing w:line="240" w:lineRule="auto"/>
        <w:ind w:firstLine="640" w:firstLineChars="200"/>
        <w:textAlignment w:val="auto"/>
        <w:outlineLvl w:val="2"/>
        <w:rPr>
          <w:rFonts w:hint="eastAsia" w:ascii="黑体" w:hAnsi="黑体" w:eastAsia="黑体"/>
          <w:sz w:val="32"/>
          <w:szCs w:val="32"/>
          <w:highlight w:val="none"/>
        </w:rPr>
      </w:pPr>
      <w:bookmarkStart w:id="26" w:name="_Toc13105"/>
      <w:bookmarkStart w:id="27" w:name="_Toc14519"/>
      <w:r>
        <w:rPr>
          <w:rFonts w:hint="eastAsia" w:ascii="黑体" w:hAnsi="黑体" w:eastAsia="黑体"/>
          <w:sz w:val="32"/>
          <w:szCs w:val="32"/>
          <w:highlight w:val="none"/>
          <w:lang w:eastAsia="zh-CN"/>
        </w:rPr>
        <w:t>（一）</w:t>
      </w:r>
      <w:r>
        <w:rPr>
          <w:rFonts w:hint="eastAsia" w:ascii="黑体" w:hAnsi="黑体" w:eastAsia="黑体"/>
          <w:sz w:val="32"/>
          <w:szCs w:val="32"/>
          <w:highlight w:val="none"/>
        </w:rPr>
        <w:t>机关运行经费支出情况</w:t>
      </w:r>
      <w:bookmarkEnd w:id="26"/>
      <w:bookmarkEnd w:id="27"/>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2022年度新疆塔城地区额敏县喀拉也木勒镇人民政府（行政单位和参照公务员法管理事业单位）机关运行经费支出8.17万元，比上年增加8.17万元，增长100%，主要原因是：本年度发突发卫生公共事件，部分机关运行经费用于弥补突发卫生公共事件应急支出。</w:t>
      </w:r>
    </w:p>
    <w:p>
      <w:pPr>
        <w:keepNext w:val="0"/>
        <w:keepLines w:val="0"/>
        <w:pageBreakBefore w:val="0"/>
        <w:widowControl w:val="0"/>
        <w:kinsoku/>
        <w:wordWrap/>
        <w:overflowPunct/>
        <w:topLinePunct w:val="0"/>
        <w:autoSpaceDE/>
        <w:autoSpaceDN/>
        <w:adjustRightInd/>
        <w:snapToGrid/>
        <w:spacing w:line="240" w:lineRule="auto"/>
        <w:ind w:firstLine="640" w:firstLineChars="200"/>
        <w:textAlignment w:val="auto"/>
        <w:outlineLvl w:val="2"/>
        <w:rPr>
          <w:rFonts w:hint="eastAsia" w:ascii="黑体" w:hAnsi="黑体" w:eastAsia="黑体"/>
          <w:sz w:val="32"/>
          <w:szCs w:val="32"/>
          <w:highlight w:val="none"/>
          <w:lang w:eastAsia="zh-CN"/>
        </w:rPr>
      </w:pPr>
      <w:bookmarkStart w:id="28" w:name="_Toc227"/>
      <w:bookmarkStart w:id="29" w:name="_Toc26704"/>
      <w:r>
        <w:rPr>
          <w:rFonts w:hint="eastAsia" w:ascii="黑体" w:hAnsi="黑体" w:eastAsia="黑体"/>
          <w:sz w:val="32"/>
          <w:szCs w:val="32"/>
          <w:highlight w:val="none"/>
          <w:lang w:eastAsia="zh-CN"/>
        </w:rPr>
        <w:t>（二）政府采购情况</w:t>
      </w:r>
      <w:bookmarkEnd w:id="28"/>
      <w:bookmarkEnd w:id="29"/>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pacing w:val="0"/>
          <w:sz w:val="32"/>
          <w:szCs w:val="32"/>
          <w:highlight w:val="none"/>
        </w:rPr>
        <w:t>2022年度政府采购支出总额1,766.52万元，其中：政府采购货物支出15.93万元、政府采购工程支出1,705.00万元、政府采购服务支出45.59万元。</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val="en-US" w:eastAsia="zh-CN"/>
        </w:rPr>
      </w:pPr>
      <w:r>
        <w:rPr>
          <w:rFonts w:hint="eastAsia" w:ascii="仿宋_GB2312" w:eastAsia="仿宋_GB2312"/>
          <w:sz w:val="32"/>
          <w:szCs w:val="32"/>
          <w:highlight w:val="none"/>
        </w:rPr>
        <w:t>授予中小企业合同金额</w:t>
      </w:r>
      <w:r>
        <w:rPr>
          <w:rFonts w:hint="eastAsia" w:ascii="仿宋_GB2312" w:eastAsia="仿宋_GB2312"/>
          <w:sz w:val="32"/>
          <w:szCs w:val="32"/>
          <w:highlight w:val="none"/>
          <w:lang w:eastAsia="zh-CN"/>
        </w:rPr>
        <w:t>1,766.52</w:t>
      </w:r>
      <w:r>
        <w:rPr>
          <w:rFonts w:hint="eastAsia" w:ascii="仿宋_GB2312" w:eastAsia="仿宋_GB2312"/>
          <w:sz w:val="32"/>
          <w:szCs w:val="32"/>
          <w:highlight w:val="none"/>
        </w:rPr>
        <w:t>万元，占政府采购支出总额的</w:t>
      </w:r>
      <w:r>
        <w:rPr>
          <w:rFonts w:hint="eastAsia" w:ascii="仿宋_GB2312" w:eastAsia="仿宋_GB2312"/>
          <w:sz w:val="32"/>
          <w:szCs w:val="32"/>
          <w:highlight w:val="none"/>
          <w:lang w:eastAsia="zh-CN"/>
        </w:rPr>
        <w:t>100.00</w:t>
      </w:r>
      <w:r>
        <w:rPr>
          <w:rFonts w:hint="eastAsia" w:ascii="仿宋_GB2312" w:eastAsia="仿宋_GB2312"/>
          <w:sz w:val="32"/>
          <w:szCs w:val="32"/>
          <w:highlight w:val="none"/>
          <w:lang w:val="en-US" w:eastAsia="zh-CN"/>
        </w:rPr>
        <w:t>%</w:t>
      </w:r>
      <w:r>
        <w:rPr>
          <w:rFonts w:hint="eastAsia" w:ascii="仿宋_GB2312" w:eastAsia="仿宋_GB2312"/>
          <w:sz w:val="32"/>
          <w:szCs w:val="32"/>
          <w:highlight w:val="none"/>
        </w:rPr>
        <w:t>，其中：授予小微企业合同金额</w:t>
      </w:r>
      <w:r>
        <w:rPr>
          <w:rFonts w:hint="eastAsia" w:ascii="仿宋_GB2312" w:eastAsia="仿宋_GB2312"/>
          <w:sz w:val="32"/>
          <w:szCs w:val="32"/>
          <w:highlight w:val="none"/>
          <w:lang w:eastAsia="zh-CN"/>
        </w:rPr>
        <w:t>1,766.52</w:t>
      </w:r>
      <w:r>
        <w:rPr>
          <w:rFonts w:hint="eastAsia" w:ascii="仿宋_GB2312" w:eastAsia="仿宋_GB2312"/>
          <w:sz w:val="32"/>
          <w:szCs w:val="32"/>
          <w:highlight w:val="none"/>
        </w:rPr>
        <w:t>万元，占政府采购支出总额的</w:t>
      </w:r>
      <w:r>
        <w:rPr>
          <w:rFonts w:hint="eastAsia" w:ascii="仿宋_GB2312" w:eastAsia="仿宋_GB2312"/>
          <w:sz w:val="32"/>
          <w:szCs w:val="32"/>
          <w:highlight w:val="none"/>
          <w:lang w:eastAsia="zh-CN"/>
        </w:rPr>
        <w:t>100.00</w:t>
      </w:r>
      <w:r>
        <w:rPr>
          <w:rFonts w:hint="eastAsia" w:ascii="仿宋_GB2312" w:eastAsia="仿宋_GB2312"/>
          <w:sz w:val="32"/>
          <w:szCs w:val="32"/>
          <w:highlight w:val="none"/>
          <w:lang w:val="en-US" w:eastAsia="zh-CN"/>
        </w:rPr>
        <w:t>%。</w:t>
      </w:r>
    </w:p>
    <w:p>
      <w:pPr>
        <w:keepNext w:val="0"/>
        <w:keepLines w:val="0"/>
        <w:pageBreakBefore w:val="0"/>
        <w:widowControl w:val="0"/>
        <w:kinsoku/>
        <w:wordWrap/>
        <w:overflowPunct/>
        <w:topLinePunct w:val="0"/>
        <w:autoSpaceDE/>
        <w:autoSpaceDN/>
        <w:adjustRightInd/>
        <w:snapToGrid/>
        <w:spacing w:line="240" w:lineRule="auto"/>
        <w:ind w:firstLine="640" w:firstLineChars="200"/>
        <w:textAlignment w:val="auto"/>
        <w:outlineLvl w:val="2"/>
        <w:rPr>
          <w:rFonts w:hint="eastAsia" w:ascii="黑体" w:hAnsi="黑体" w:eastAsia="黑体"/>
          <w:sz w:val="32"/>
          <w:szCs w:val="32"/>
          <w:highlight w:val="none"/>
          <w:lang w:eastAsia="zh-CN"/>
        </w:rPr>
      </w:pPr>
      <w:bookmarkStart w:id="30" w:name="_Toc4591"/>
      <w:bookmarkStart w:id="31" w:name="_Toc8391"/>
      <w:r>
        <w:rPr>
          <w:rFonts w:hint="eastAsia" w:ascii="黑体" w:hAnsi="黑体" w:eastAsia="黑体"/>
          <w:sz w:val="32"/>
          <w:szCs w:val="32"/>
          <w:highlight w:val="none"/>
          <w:lang w:eastAsia="zh-CN"/>
        </w:rPr>
        <w:t>（三）国有资产占用情况说明</w:t>
      </w:r>
      <w:bookmarkEnd w:id="30"/>
      <w:bookmarkEnd w:id="31"/>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截止2022年12月31日，固定资产原值648.95万元，房屋4,717.91平方米，价值400.49万元。车辆2辆，价值22.04万元，其中：副部（省）级及以上领导用车0辆、主要领导干部用车0辆、机要通信用车0辆、应急保障用车0辆、执法执勤用车0辆、特种专业技术用车0辆、离退休干部用车0辆、其他用车2辆，其他用车主要是：垃圾车、洒水车；单价100万元（含）以上设备（不含车辆）0台（套）。</w:t>
      </w:r>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bookmarkStart w:id="32" w:name="_Toc435"/>
      <w:bookmarkStart w:id="33" w:name="_Toc11283"/>
      <w:r>
        <w:rPr>
          <w:rFonts w:hint="eastAsia" w:ascii="黑体" w:hAnsi="黑体" w:eastAsia="黑体" w:cs="宋体"/>
          <w:kern w:val="0"/>
          <w:sz w:val="32"/>
          <w:szCs w:val="32"/>
          <w:highlight w:val="none"/>
          <w:lang w:eastAsia="zh-CN"/>
        </w:rPr>
        <w:t>十一、预算绩效的情况说明</w:t>
      </w:r>
      <w:bookmarkEnd w:id="32"/>
      <w:bookmarkEnd w:id="33"/>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根据预算绩效管理要求，我单位2022年度开展预算绩效评价项目</w:t>
      </w:r>
      <w:r>
        <w:rPr>
          <w:rFonts w:hint="eastAsia" w:ascii="仿宋_GB2312" w:eastAsia="仿宋_GB2312"/>
          <w:sz w:val="32"/>
          <w:szCs w:val="32"/>
          <w:highlight w:val="none"/>
          <w:lang w:val="en-US" w:eastAsia="zh-CN"/>
        </w:rPr>
        <w:t>11</w:t>
      </w:r>
      <w:r>
        <w:rPr>
          <w:rFonts w:hint="eastAsia" w:ascii="仿宋_GB2312" w:eastAsia="仿宋_GB2312"/>
          <w:sz w:val="32"/>
          <w:szCs w:val="32"/>
          <w:highlight w:val="none"/>
          <w:lang w:eastAsia="zh-CN"/>
        </w:rPr>
        <w:t>个，全年预算数</w:t>
      </w:r>
      <w:r>
        <w:rPr>
          <w:rFonts w:hint="eastAsia" w:ascii="仿宋_GB2312" w:eastAsia="仿宋_GB2312"/>
          <w:sz w:val="32"/>
          <w:szCs w:val="32"/>
          <w:highlight w:val="none"/>
          <w:lang w:val="en-US" w:eastAsia="zh-CN"/>
        </w:rPr>
        <w:t>2555.53</w:t>
      </w:r>
      <w:r>
        <w:rPr>
          <w:rFonts w:hint="eastAsia" w:ascii="仿宋_GB2312" w:eastAsia="仿宋_GB2312"/>
          <w:sz w:val="32"/>
          <w:szCs w:val="32"/>
          <w:highlight w:val="none"/>
          <w:lang w:eastAsia="zh-CN"/>
        </w:rPr>
        <w:t>万元，全年执行数</w:t>
      </w:r>
      <w:r>
        <w:rPr>
          <w:rFonts w:hint="eastAsia" w:ascii="仿宋_GB2312" w:eastAsia="仿宋_GB2312"/>
          <w:sz w:val="32"/>
          <w:szCs w:val="32"/>
          <w:highlight w:val="none"/>
          <w:lang w:val="en-US" w:eastAsia="zh-CN"/>
        </w:rPr>
        <w:t>2496.94</w:t>
      </w:r>
      <w:r>
        <w:rPr>
          <w:rFonts w:hint="eastAsia" w:ascii="仿宋_GB2312" w:eastAsia="仿宋_GB2312"/>
          <w:sz w:val="32"/>
          <w:szCs w:val="32"/>
          <w:highlight w:val="none"/>
          <w:lang w:eastAsia="zh-CN"/>
        </w:rPr>
        <w:t>万元。预算绩效管理取得的成效：一是抓好绩效目标编制；二是探索绩效跟踪监控，要求加强过程监控。发现的问题及原因：一是绩效管理工作机制欠缺；二是职责分工不明确。下一步改进措施：一是完善绩效管理工作机制；二是明确职责分工。提高绩效管理工作水平。具体项目自评情况附项目支出绩效自评表。</w:t>
      </w:r>
    </w:p>
    <w:p>
      <w:pPr>
        <w:keepNext w:val="0"/>
        <w:keepLines w:val="0"/>
        <w:pageBreakBefore w:val="0"/>
        <w:widowControl w:val="0"/>
        <w:kinsoku/>
        <w:wordWrap/>
        <w:overflowPunct/>
        <w:topLinePunct w:val="0"/>
        <w:autoSpaceDE/>
        <w:autoSpaceDN/>
        <w:adjustRightInd/>
        <w:snapToGrid/>
        <w:spacing w:line="240" w:lineRule="auto"/>
        <w:ind w:firstLine="562" w:firstLineChars="200"/>
        <w:jc w:val="center"/>
        <w:textAlignment w:val="auto"/>
        <w:outlineLvl w:val="0"/>
        <w:rPr>
          <w:rFonts w:hint="eastAsia" w:ascii="黑体" w:hAnsi="黑体" w:eastAsia="黑体"/>
          <w:sz w:val="32"/>
          <w:szCs w:val="32"/>
          <w:highlight w:val="none"/>
        </w:rPr>
      </w:pPr>
      <w:bookmarkStart w:id="34" w:name="_Toc3250"/>
      <w:bookmarkStart w:id="35" w:name="_Toc24143"/>
      <w:r>
        <w:rPr>
          <w:rFonts w:hint="default" w:ascii="黑体"/>
          <w:b/>
          <w:kern w:val="44"/>
          <w:sz w:val="28"/>
        </w:rPr>
        <w:br w:type="page"/>
      </w:r>
      <w:r>
        <w:rPr>
          <w:rFonts w:hint="default" w:ascii="黑体"/>
          <w:b/>
          <w:spacing w:val="40"/>
          <w:sz w:val="28"/>
        </w:rPr>
        <w:t xml:space="preserve"> </w:t>
      </w:r>
      <w:r>
        <w:rPr>
          <w:rFonts w:hint="eastAsia" w:ascii="黑体" w:hAnsi="黑体" w:eastAsia="黑体"/>
          <w:sz w:val="32"/>
          <w:szCs w:val="32"/>
          <w:highlight w:val="none"/>
        </w:rPr>
        <w:t>第三部分 专业名词解释</w:t>
      </w:r>
      <w:bookmarkEnd w:id="34"/>
      <w:bookmarkEnd w:id="35"/>
    </w:p>
    <w:p>
      <w:pPr>
        <w:keepNext w:val="0"/>
        <w:keepLines w:val="0"/>
        <w:pageBreakBefore w:val="0"/>
        <w:widowControl w:val="0"/>
        <w:kinsoku/>
        <w:wordWrap/>
        <w:overflowPunct/>
        <w:topLinePunct w:val="0"/>
        <w:autoSpaceDE w:val="0"/>
        <w:autoSpaceDN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财政拨款收入：指同级财政当年拨付的资金。</w:t>
      </w:r>
    </w:p>
    <w:p>
      <w:pPr>
        <w:keepNext w:val="0"/>
        <w:keepLines w:val="0"/>
        <w:pageBreakBefore w:val="0"/>
        <w:widowControl w:val="0"/>
        <w:kinsoku/>
        <w:wordWrap/>
        <w:overflowPunct/>
        <w:topLinePunct w:val="0"/>
        <w:autoSpaceDE w:val="0"/>
        <w:autoSpaceDN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上级补助收入：指事业单位从主管部门和上级单位取得的非财政补助收入。</w:t>
      </w:r>
    </w:p>
    <w:p>
      <w:pPr>
        <w:keepNext w:val="0"/>
        <w:keepLines w:val="0"/>
        <w:pageBreakBefore w:val="0"/>
        <w:widowControl w:val="0"/>
        <w:kinsoku/>
        <w:wordWrap/>
        <w:overflowPunct/>
        <w:topLinePunct w:val="0"/>
        <w:autoSpaceDE w:val="0"/>
        <w:autoSpaceDN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事业收入：指事业单位开展专业业务活动及其辅助活动所取得的收入。</w:t>
      </w:r>
    </w:p>
    <w:p>
      <w:pPr>
        <w:keepNext w:val="0"/>
        <w:keepLines w:val="0"/>
        <w:pageBreakBefore w:val="0"/>
        <w:widowControl w:val="0"/>
        <w:kinsoku/>
        <w:wordWrap/>
        <w:overflowPunct/>
        <w:topLinePunct w:val="0"/>
        <w:autoSpaceDE w:val="0"/>
        <w:autoSpaceDN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经营收入：指事业单位在专业业务活动及其辅助活动之外开展非独立核算经营活动取得的收入。</w:t>
      </w:r>
    </w:p>
    <w:p>
      <w:pPr>
        <w:keepNext w:val="0"/>
        <w:keepLines w:val="0"/>
        <w:pageBreakBefore w:val="0"/>
        <w:widowControl w:val="0"/>
        <w:kinsoku/>
        <w:wordWrap/>
        <w:overflowPunct/>
        <w:topLinePunct w:val="0"/>
        <w:autoSpaceDE w:val="0"/>
        <w:autoSpaceDN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附属单位上缴收入：指事业单位附属的独立核算单位按有关规定上缴的收入。</w:t>
      </w:r>
    </w:p>
    <w:p>
      <w:pPr>
        <w:keepNext w:val="0"/>
        <w:keepLines w:val="0"/>
        <w:pageBreakBefore w:val="0"/>
        <w:widowControl w:val="0"/>
        <w:kinsoku/>
        <w:wordWrap/>
        <w:overflowPunct/>
        <w:topLinePunct w:val="0"/>
        <w:autoSpaceDE w:val="0"/>
        <w:autoSpaceDN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其他收入：指除上述“财政拨款收入”、“事业收入”、“经营收入”、“附属单位上缴收入”等之外取得的收入。</w:t>
      </w:r>
    </w:p>
    <w:p>
      <w:pPr>
        <w:keepNext w:val="0"/>
        <w:keepLines w:val="0"/>
        <w:pageBreakBefore w:val="0"/>
        <w:widowControl w:val="0"/>
        <w:kinsoku/>
        <w:wordWrap/>
        <w:overflowPunct/>
        <w:topLinePunct w:val="0"/>
        <w:autoSpaceDE w:val="0"/>
        <w:autoSpaceDN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lang w:eastAsia="zh-CN"/>
        </w:rPr>
        <w:t>年初</w:t>
      </w:r>
      <w:r>
        <w:rPr>
          <w:rFonts w:hint="eastAsia" w:ascii="仿宋_GB2312" w:eastAsia="仿宋_GB2312"/>
          <w:sz w:val="32"/>
          <w:szCs w:val="32"/>
          <w:highlight w:val="none"/>
        </w:rPr>
        <w:t>结转和结余：指以前年度支出预算因客观条件变化未执行完毕、结转到本年度按有关规定继续使用的资金，既包括财政拨款结转和结余，也包括事业收入、经营收入、其他收入的结转和结余。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基本支出：指为保障机构正常运转、完成日常工作任务而发生的人员支出和公用支出。</w:t>
      </w:r>
    </w:p>
    <w:p>
      <w:pPr>
        <w:keepNext w:val="0"/>
        <w:keepLines w:val="0"/>
        <w:pageBreakBefore w:val="0"/>
        <w:widowControl w:val="0"/>
        <w:kinsoku/>
        <w:wordWrap/>
        <w:overflowPunct/>
        <w:topLinePunct w:val="0"/>
        <w:autoSpaceDE w:val="0"/>
        <w:autoSpaceDN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项目支出：指在基本支出之外为完成特定行政任务和事业发展目标所发生的支出。</w:t>
      </w:r>
    </w:p>
    <w:p>
      <w:pPr>
        <w:keepNext w:val="0"/>
        <w:keepLines w:val="0"/>
        <w:pageBreakBefore w:val="0"/>
        <w:widowControl w:val="0"/>
        <w:kinsoku/>
        <w:wordWrap/>
        <w:overflowPunct/>
        <w:topLinePunct w:val="0"/>
        <w:autoSpaceDE w:val="0"/>
        <w:autoSpaceDN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经营支出：指事业单位在专业业务活动及其辅助活动之外开展非独立核算经营活动发生的支出。</w:t>
      </w:r>
    </w:p>
    <w:p>
      <w:pPr>
        <w:keepNext w:val="0"/>
        <w:keepLines w:val="0"/>
        <w:pageBreakBefore w:val="0"/>
        <w:widowControl w:val="0"/>
        <w:kinsoku/>
        <w:wordWrap/>
        <w:overflowPunct/>
        <w:topLinePunct w:val="0"/>
        <w:autoSpaceDE w:val="0"/>
        <w:autoSpaceDN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对附属单位补助支出：指事业单位发生的用非财政预算资金对附属单位的补助支出。</w:t>
      </w:r>
    </w:p>
    <w:p>
      <w:pPr>
        <w:keepNext w:val="0"/>
        <w:keepLines w:val="0"/>
        <w:pageBreakBefore w:val="0"/>
        <w:widowControl w:val="0"/>
        <w:kinsoku/>
        <w:wordWrap/>
        <w:overflowPunct/>
        <w:topLinePunct w:val="0"/>
        <w:autoSpaceDE w:val="0"/>
        <w:autoSpaceDN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三公”经费：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机关运行经费：行政单位和参照公务员法管理的事业单位财政拨款基本支出中的公用经费支出。</w:t>
      </w:r>
    </w:p>
    <w:p>
      <w:pPr>
        <w:keepNext w:val="0"/>
        <w:keepLines w:val="0"/>
        <w:pageBreakBefore w:val="0"/>
        <w:widowControl w:val="0"/>
        <w:kinsoku/>
        <w:wordWrap/>
        <w:overflowPunct/>
        <w:topLinePunct w:val="0"/>
        <w:autoSpaceDE/>
        <w:autoSpaceDN/>
        <w:adjustRightInd/>
        <w:snapToGrid/>
        <w:spacing w:line="240" w:lineRule="auto"/>
        <w:ind w:firstLine="562" w:firstLineChars="200"/>
        <w:jc w:val="center"/>
        <w:textAlignment w:val="auto"/>
        <w:outlineLvl w:val="0"/>
        <w:rPr>
          <w:rFonts w:hint="eastAsia" w:ascii="黑体" w:hAnsi="黑体" w:eastAsia="黑体"/>
          <w:sz w:val="32"/>
          <w:szCs w:val="32"/>
          <w:highlight w:val="none"/>
        </w:rPr>
      </w:pPr>
      <w:bookmarkStart w:id="36" w:name="_Toc22784"/>
      <w:bookmarkStart w:id="37" w:name="_Toc28903"/>
      <w:r>
        <w:rPr>
          <w:rFonts w:hint="default" w:ascii="黑体"/>
          <w:b/>
          <w:kern w:val="44"/>
          <w:sz w:val="28"/>
        </w:rPr>
        <w:br w:type="page"/>
      </w:r>
      <w:r>
        <w:rPr>
          <w:rFonts w:hint="default" w:ascii="黑体"/>
          <w:b/>
          <w:spacing w:val="40"/>
          <w:sz w:val="28"/>
        </w:rPr>
        <w:t xml:space="preserve"> </w:t>
      </w:r>
      <w:r>
        <w:rPr>
          <w:rFonts w:hint="eastAsia" w:ascii="黑体" w:hAnsi="黑体" w:eastAsia="黑体"/>
          <w:sz w:val="32"/>
          <w:szCs w:val="32"/>
          <w:highlight w:val="none"/>
        </w:rPr>
        <w:t>第四部分 部门决算报表（见附表）</w:t>
      </w:r>
      <w:bookmarkEnd w:id="36"/>
      <w:bookmarkEnd w:id="37"/>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rPr>
      </w:pPr>
      <w:bookmarkStart w:id="38" w:name="_Toc2183"/>
      <w:bookmarkStart w:id="39" w:name="_Toc6062"/>
      <w:r>
        <w:rPr>
          <w:rFonts w:hint="eastAsia" w:ascii="黑体" w:hAnsi="黑体" w:eastAsia="黑体" w:cs="宋体"/>
          <w:kern w:val="0"/>
          <w:sz w:val="32"/>
          <w:szCs w:val="32"/>
          <w:highlight w:val="none"/>
        </w:rPr>
        <w:t>一、《收入支出决算总表》</w:t>
      </w:r>
      <w:bookmarkEnd w:id="38"/>
      <w:bookmarkEnd w:id="39"/>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rPr>
      </w:pPr>
      <w:bookmarkStart w:id="40" w:name="_Toc30364"/>
      <w:bookmarkStart w:id="41" w:name="_Toc24532"/>
      <w:r>
        <w:rPr>
          <w:rFonts w:hint="eastAsia" w:ascii="黑体" w:hAnsi="黑体" w:eastAsia="黑体" w:cs="宋体"/>
          <w:kern w:val="0"/>
          <w:sz w:val="32"/>
          <w:szCs w:val="32"/>
          <w:highlight w:val="none"/>
        </w:rPr>
        <w:t>二、《收入决算表》</w:t>
      </w:r>
      <w:bookmarkEnd w:id="40"/>
      <w:bookmarkEnd w:id="41"/>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rPr>
      </w:pPr>
      <w:bookmarkStart w:id="42" w:name="_Toc21304"/>
      <w:bookmarkStart w:id="43" w:name="_Toc32434"/>
      <w:r>
        <w:rPr>
          <w:rFonts w:hint="eastAsia" w:ascii="黑体" w:hAnsi="黑体" w:eastAsia="黑体" w:cs="宋体"/>
          <w:kern w:val="0"/>
          <w:sz w:val="32"/>
          <w:szCs w:val="32"/>
          <w:highlight w:val="none"/>
        </w:rPr>
        <w:t>三、《支出决算表》</w:t>
      </w:r>
      <w:bookmarkEnd w:id="42"/>
      <w:bookmarkEnd w:id="43"/>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rPr>
      </w:pPr>
      <w:bookmarkStart w:id="44" w:name="_Toc14238"/>
      <w:bookmarkStart w:id="45" w:name="_Toc28786"/>
      <w:r>
        <w:rPr>
          <w:rFonts w:hint="eastAsia" w:ascii="黑体" w:hAnsi="黑体" w:eastAsia="黑体" w:cs="宋体"/>
          <w:kern w:val="0"/>
          <w:sz w:val="32"/>
          <w:szCs w:val="32"/>
          <w:highlight w:val="none"/>
        </w:rPr>
        <w:t>四、《财政拨款收入支出决算总表》</w:t>
      </w:r>
      <w:bookmarkEnd w:id="44"/>
      <w:bookmarkEnd w:id="45"/>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rPr>
      </w:pPr>
      <w:bookmarkStart w:id="46" w:name="_Toc14869"/>
      <w:bookmarkStart w:id="47" w:name="_Toc10347"/>
      <w:r>
        <w:rPr>
          <w:rFonts w:hint="eastAsia" w:ascii="黑体" w:hAnsi="黑体" w:eastAsia="黑体" w:cs="宋体"/>
          <w:kern w:val="0"/>
          <w:sz w:val="32"/>
          <w:szCs w:val="32"/>
          <w:highlight w:val="none"/>
        </w:rPr>
        <w:t>五、《一般公共预算财政拨款支出决算表》</w:t>
      </w:r>
      <w:bookmarkEnd w:id="46"/>
      <w:bookmarkEnd w:id="47"/>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rPr>
      </w:pPr>
      <w:bookmarkStart w:id="48" w:name="_Toc8884"/>
      <w:bookmarkStart w:id="49" w:name="_Toc5626"/>
      <w:r>
        <w:rPr>
          <w:rFonts w:hint="eastAsia" w:ascii="黑体" w:hAnsi="黑体" w:eastAsia="黑体" w:cs="宋体"/>
          <w:kern w:val="0"/>
          <w:sz w:val="32"/>
          <w:szCs w:val="32"/>
          <w:highlight w:val="none"/>
        </w:rPr>
        <w:t>六、《一般公共预算财政拨款基本支出决算表》</w:t>
      </w:r>
      <w:bookmarkEnd w:id="48"/>
      <w:bookmarkEnd w:id="49"/>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rPr>
      </w:pPr>
      <w:bookmarkStart w:id="50" w:name="_Toc32663"/>
      <w:bookmarkStart w:id="51" w:name="_Toc29106"/>
      <w:r>
        <w:rPr>
          <w:rFonts w:hint="eastAsia" w:ascii="黑体" w:hAnsi="黑体" w:eastAsia="黑体" w:cs="宋体"/>
          <w:kern w:val="0"/>
          <w:sz w:val="32"/>
          <w:szCs w:val="32"/>
          <w:highlight w:val="none"/>
        </w:rPr>
        <w:t>七、《财政拨款“三公”经费支出决算表》</w:t>
      </w:r>
      <w:bookmarkEnd w:id="50"/>
      <w:bookmarkEnd w:id="51"/>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bookmarkStart w:id="52" w:name="_Toc7643"/>
      <w:bookmarkStart w:id="53" w:name="_Toc5453"/>
      <w:r>
        <w:rPr>
          <w:rFonts w:hint="eastAsia" w:ascii="黑体" w:hAnsi="黑体" w:eastAsia="黑体" w:cs="宋体"/>
          <w:kern w:val="0"/>
          <w:sz w:val="32"/>
          <w:szCs w:val="32"/>
          <w:highlight w:val="none"/>
        </w:rPr>
        <w:t>八、《政府性基金预算财政拨款收入支出决算表》</w:t>
      </w:r>
      <w:bookmarkEnd w:id="52"/>
      <w:bookmarkEnd w:id="53"/>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r>
        <w:rPr>
          <w:rFonts w:hint="eastAsia" w:ascii="黑体" w:hAnsi="黑体" w:eastAsia="黑体" w:cs="宋体"/>
          <w:kern w:val="0"/>
          <w:sz w:val="32"/>
          <w:szCs w:val="32"/>
          <w:highlight w:val="none"/>
        </w:rPr>
        <w:t>九、《国有资本经营预算财政拨款收入支出决算表》</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altName w:val="微软雅黑"/>
    <w:panose1 w:val="00000000000000000000"/>
    <w:charset w:val="00"/>
    <w:family w:val="auto"/>
    <w:pitch w:val="default"/>
    <w:sig w:usb0="00000000" w:usb1="00000000" w:usb2="0000001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tabs>
        <w:tab w:val="center" w:pos="4153"/>
        <w:tab w:val="right" w:pos="8306"/>
      </w:tabs>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tabs>
                              <w:tab w:val="center" w:pos="4153"/>
                              <w:tab w:val="right" w:pos="8306"/>
                            </w:tabs>
                            <w:rPr>
                              <w:rFonts w:hint="eastAsia" w:eastAsia="宋体"/>
                              <w:lang w:eastAsia="zh-CN"/>
                            </w:rPr>
                          </w:pPr>
                          <w:r>
                            <w:rPr>
                              <w:rFonts w:hint="eastAsia"/>
                              <w:lang w:eastAsia="zh-CN"/>
                            </w:rPr>
                            <w:fldChar w:fldCharType="begin"/>
                          </w:r>
                          <w:r>
                            <w:rPr>
                              <w:rFonts w:hint="eastAsia"/>
                              <w:lang w:eastAsia="zh-CN"/>
                            </w:rPr>
                            <w:instrText xml:space="preserve"> PAGE \* MERGEFORMAT</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JOtIW7dAQAAvgMAAA4AAAAAAAAA&#10;AQAgAAAAHgEAAGRycy9lMm9Eb2MueG1sUEsFBgAAAAAGAAYAWQEAAG0FAAAAAA==&#10;">
              <v:fill on="f" focussize="0,0"/>
              <v:stroke on="f"/>
              <v:imagedata o:title=""/>
              <o:lock v:ext="edit" aspectratio="f"/>
              <v:textbox inset="0mm,0mm,0mm,0mm" style="mso-fit-shape-to-text:t;">
                <w:txbxContent>
                  <w:p>
                    <w:pPr>
                      <w:pStyle w:val="4"/>
                      <w:tabs>
                        <w:tab w:val="center" w:pos="4153"/>
                        <w:tab w:val="right" w:pos="8306"/>
                      </w:tabs>
                      <w:rPr>
                        <w:rFonts w:hint="eastAsia" w:eastAsia="宋体"/>
                        <w:lang w:eastAsia="zh-CN"/>
                      </w:rPr>
                    </w:pPr>
                    <w:r>
                      <w:rPr>
                        <w:rFonts w:hint="eastAsia"/>
                        <w:lang w:eastAsia="zh-CN"/>
                      </w:rPr>
                      <w:fldChar w:fldCharType="begin"/>
                    </w:r>
                    <w:r>
                      <w:rPr>
                        <w:rFonts w:hint="eastAsia"/>
                        <w:lang w:eastAsia="zh-CN"/>
                      </w:rPr>
                      <w:instrText xml:space="preserve"> PAGE \* MERGEFORMAT</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EzZmRjNGE1MWFhMmQ5YTI4N2U2NGVhNTI5YmQ5NzAifQ=="/>
  </w:docVars>
  <w:rsids>
    <w:rsidRoot w:val="00000000"/>
    <w:rsid w:val="0F4A7D85"/>
    <w:rsid w:val="18CE49F7"/>
    <w:rsid w:val="19A11F51"/>
    <w:rsid w:val="1C754D13"/>
    <w:rsid w:val="51422C79"/>
    <w:rsid w:val="5BDD6E2A"/>
    <w:rsid w:val="5C5834EE"/>
    <w:rsid w:val="75CE10FC"/>
    <w:rsid w:val="7B842FB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hint="default" w:ascii="Times New Roman" w:hAnsi="Times New Roman" w:eastAsia="宋体" w:cs="Times New Roman"/>
      <w:kern w:val="2"/>
      <w:sz w:val="21"/>
      <w:szCs w:val="24"/>
      <w:lang w:val="en-US" w:eastAsia="zh-CN"/>
    </w:rPr>
  </w:style>
  <w:style w:type="character" w:default="1" w:styleId="9">
    <w:name w:val="Default Paragraph Fon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uiPriority w:val="0"/>
    <w:pPr>
      <w:snapToGrid w:val="0"/>
      <w:jc w:val="left"/>
    </w:pPr>
    <w:rPr>
      <w:sz w:val="18"/>
    </w:rPr>
  </w:style>
  <w:style w:type="paragraph" w:styleId="5">
    <w:name w:val="header"/>
    <w:basedOn w:val="1"/>
    <w:qFormat/>
    <w:uiPriority w:val="0"/>
    <w:pPr>
      <w:pBdr>
        <w:top w:val="none" w:color="auto" w:sz="0" w:space="0"/>
        <w:left w:val="none" w:color="auto" w:sz="0" w:space="0"/>
        <w:bottom w:val="none" w:color="auto" w:sz="0" w:space="0"/>
        <w:right w:val="none" w:color="auto" w:sz="0" w:space="0"/>
      </w:pBdr>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customStyle="1" w:styleId="10">
    <w:name w:val="WPSOffice手动目录 3"/>
    <w:qFormat/>
    <w:uiPriority w:val="0"/>
    <w:pPr>
      <w:ind w:left="400" w:leftChars="400"/>
    </w:pPr>
    <w:rPr>
      <w:rFonts w:ascii="Times New Roman" w:hAnsi="Times New Roman" w:eastAsia="宋体" w:cs="Times New Roman"/>
      <w:sz w:val="20"/>
      <w:szCs w:val="20"/>
    </w:rPr>
  </w:style>
  <w:style w:type="paragraph" w:customStyle="1" w:styleId="11">
    <w:name w:val="WPSOffice手动目录 2"/>
    <w:qFormat/>
    <w:uiPriority w:val="0"/>
    <w:pPr>
      <w:ind w:left="200" w:leftChars="200"/>
    </w:pPr>
    <w:rPr>
      <w:rFonts w:ascii="Times New Roman" w:hAnsi="Times New Roman" w:eastAsia="宋体" w:cs="Times New Roman"/>
      <w:sz w:val="20"/>
      <w:szCs w:val="20"/>
    </w:rPr>
  </w:style>
  <w:style w:type="paragraph" w:customStyle="1" w:styleId="12">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18</Pages>
  <Words>6484</Words>
  <Characters>7369</Characters>
  <Lines>0</Lines>
  <Paragraphs>0</Paragraphs>
  <TotalTime>13</TotalTime>
  <ScaleCrop>false</ScaleCrop>
  <LinksUpToDate>false</LinksUpToDate>
  <CharactersWithSpaces>7393</CharactersWithSpaces>
  <Application>WPS Office_12.1.0.16929_F1E327BC-269C-435d-A152-05C5408002CA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琪琪妈妈</cp:lastModifiedBy>
  <dcterms:modified xsi:type="dcterms:W3CDTF">2024-06-25T14:58:58Z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73F09F9A17E0448CBEBF947A711A3448_13</vt:lpwstr>
  </property>
</Properties>
</file>