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adjustRightInd/>
        <w:spacing w:line="600" w:lineRule="exact"/>
        <w:jc w:val="both"/>
        <w:rPr>
          <w:b/>
          <w:sz w:val="44"/>
          <w:szCs w:val="44"/>
        </w:rPr>
      </w:pPr>
      <w:bookmarkStart w:id="0" w:name="_GoBack"/>
      <w:bookmarkEnd w:id="0"/>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额敏县霍吉尔特蒙古民族乡2022年财政衔接推进乡村振兴补助资金绩效</w:t>
      </w:r>
    </w:p>
    <w:p>
      <w:pPr>
        <w:pStyle w:val="7"/>
        <w:keepNext w:val="0"/>
        <w:keepLines w:val="0"/>
        <w:pageBreakBefore w:val="0"/>
        <w:kinsoku/>
        <w:wordWrap/>
        <w:overflowPunct/>
        <w:topLinePunct w:val="0"/>
        <w:autoSpaceDE/>
        <w:autoSpaceDN/>
        <w:bidi w:val="0"/>
        <w:adjustRightInd/>
        <w:spacing w:line="60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自评总结报告</w:t>
      </w: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b/>
          <w:sz w:val="44"/>
          <w:szCs w:val="44"/>
        </w:rPr>
      </w:pPr>
    </w:p>
    <w:p>
      <w:pPr>
        <w:pStyle w:val="7"/>
        <w:keepNext w:val="0"/>
        <w:keepLines w:val="0"/>
        <w:pageBreakBefore w:val="0"/>
        <w:kinsoku/>
        <w:wordWrap/>
        <w:overflowPunct/>
        <w:topLinePunct w:val="0"/>
        <w:autoSpaceDE/>
        <w:autoSpaceDN/>
        <w:bidi w:val="0"/>
        <w:adjustRightInd/>
        <w:spacing w:line="600" w:lineRule="exact"/>
        <w:jc w:val="center"/>
        <w:rPr>
          <w:sz w:val="44"/>
          <w:szCs w:val="44"/>
        </w:rPr>
      </w:pPr>
      <w:r>
        <w:rPr>
          <w:rFonts w:hint="eastAsia"/>
          <w:sz w:val="44"/>
          <w:szCs w:val="44"/>
        </w:rPr>
        <w:t>（</w:t>
      </w:r>
      <w:r>
        <w:rPr>
          <w:sz w:val="44"/>
          <w:szCs w:val="44"/>
        </w:rPr>
        <w:t>20</w:t>
      </w:r>
      <w:r>
        <w:rPr>
          <w:rFonts w:hint="eastAsia"/>
          <w:sz w:val="44"/>
          <w:szCs w:val="44"/>
        </w:rPr>
        <w:t>22年度）</w:t>
      </w: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44"/>
          <w:szCs w:val="44"/>
        </w:rPr>
      </w:pPr>
    </w:p>
    <w:p>
      <w:pPr>
        <w:pStyle w:val="7"/>
        <w:keepNext w:val="0"/>
        <w:keepLines w:val="0"/>
        <w:pageBreakBefore w:val="0"/>
        <w:kinsoku/>
        <w:wordWrap/>
        <w:overflowPunct/>
        <w:topLinePunct w:val="0"/>
        <w:autoSpaceDE/>
        <w:autoSpaceDN/>
        <w:bidi w:val="0"/>
        <w:adjustRightInd/>
        <w:spacing w:line="600" w:lineRule="exact"/>
        <w:rPr>
          <w:sz w:val="36"/>
          <w:szCs w:val="36"/>
        </w:rPr>
      </w:pPr>
    </w:p>
    <w:p>
      <w:pPr>
        <w:keepNext w:val="0"/>
        <w:keepLines w:val="0"/>
        <w:pageBreakBefore w:val="0"/>
        <w:kinsoku/>
        <w:wordWrap/>
        <w:overflowPunct/>
        <w:topLinePunct w:val="0"/>
        <w:autoSpaceDE/>
        <w:autoSpaceDN/>
        <w:bidi w:val="0"/>
        <w:adjustRightInd/>
        <w:spacing w:line="600" w:lineRule="exact"/>
        <w:ind w:left="2160" w:hanging="2160" w:hangingChars="600"/>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目</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名</w:t>
      </w:r>
      <w:r>
        <w:rPr>
          <w:rFonts w:hint="eastAsia" w:ascii="仿宋_GB2312" w:hAnsi="仿宋_GB2312" w:eastAsia="仿宋_GB2312" w:cs="仿宋_GB2312"/>
          <w:kern w:val="0"/>
          <w:sz w:val="36"/>
          <w:szCs w:val="36"/>
          <w:lang w:val="en-US" w:eastAsia="zh-CN" w:bidi="en-US"/>
        </w:rPr>
        <w:t xml:space="preserve"> </w:t>
      </w:r>
      <w:r>
        <w:rPr>
          <w:rFonts w:hint="eastAsia" w:ascii="仿宋_GB2312" w:hAnsi="仿宋_GB2312" w:eastAsia="仿宋_GB2312" w:cs="仿宋_GB2312"/>
          <w:kern w:val="0"/>
          <w:sz w:val="36"/>
          <w:szCs w:val="36"/>
          <w:lang w:bidi="en-US"/>
        </w:rPr>
        <w:t>称：额敏县霍吉尔特蒙古民族乡新建村安全饮水巩固提升建设</w:t>
      </w:r>
    </w:p>
    <w:p>
      <w:pPr>
        <w:keepNext w:val="0"/>
        <w:keepLines w:val="0"/>
        <w:pageBreakBefore w:val="0"/>
        <w:kinsoku/>
        <w:wordWrap/>
        <w:overflowPunct/>
        <w:topLinePunct w:val="0"/>
        <w:autoSpaceDE/>
        <w:autoSpaceDN/>
        <w:bidi w:val="0"/>
        <w:adjustRightInd/>
        <w:spacing w:line="60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实施单位（公章）：额敏县霍吉尔特蒙古民族乡</w:t>
      </w:r>
    </w:p>
    <w:p>
      <w:pPr>
        <w:keepNext w:val="0"/>
        <w:keepLines w:val="0"/>
        <w:pageBreakBefore w:val="0"/>
        <w:kinsoku/>
        <w:wordWrap/>
        <w:overflowPunct/>
        <w:topLinePunct w:val="0"/>
        <w:autoSpaceDE/>
        <w:autoSpaceDN/>
        <w:bidi w:val="0"/>
        <w:adjustRightInd/>
        <w:spacing w:line="60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 xml:space="preserve">主管部门（公章）：额敏县乡村振兴局 </w:t>
      </w:r>
    </w:p>
    <w:p>
      <w:pPr>
        <w:keepNext w:val="0"/>
        <w:keepLines w:val="0"/>
        <w:pageBreakBefore w:val="0"/>
        <w:kinsoku/>
        <w:wordWrap/>
        <w:overflowPunct/>
        <w:topLinePunct w:val="0"/>
        <w:autoSpaceDE/>
        <w:autoSpaceDN/>
        <w:bidi w:val="0"/>
        <w:adjustRightInd/>
        <w:spacing w:line="600" w:lineRule="exact"/>
        <w:jc w:val="left"/>
        <w:rPr>
          <w:rFonts w:hint="eastAsia" w:ascii="仿宋_GB2312" w:hAnsi="仿宋_GB2312" w:eastAsia="仿宋_GB2312" w:cs="仿宋_GB2312"/>
          <w:kern w:val="0"/>
          <w:sz w:val="36"/>
          <w:szCs w:val="36"/>
          <w:lang w:bidi="en-US"/>
        </w:rPr>
      </w:pPr>
      <w:r>
        <w:rPr>
          <w:rFonts w:hint="eastAsia" w:ascii="仿宋_GB2312" w:hAnsi="仿宋_GB2312" w:eastAsia="仿宋_GB2312" w:cs="仿宋_GB2312"/>
          <w:kern w:val="0"/>
          <w:sz w:val="36"/>
          <w:szCs w:val="36"/>
          <w:lang w:bidi="en-US"/>
        </w:rPr>
        <w:t>项目负责人（签章）：殷盛</w:t>
      </w:r>
    </w:p>
    <w:p>
      <w:pPr>
        <w:pStyle w:val="2"/>
        <w:rPr>
          <w:rFonts w:hint="eastAsia" w:ascii="仿宋_GB2312" w:hAnsi="仿宋_GB2312" w:eastAsia="仿宋_GB2312" w:cs="仿宋_GB2312"/>
          <w:sz w:val="36"/>
          <w:szCs w:val="36"/>
        </w:rPr>
      </w:pPr>
    </w:p>
    <w:p>
      <w:pPr>
        <w:keepNext w:val="0"/>
        <w:keepLines w:val="0"/>
        <w:pageBreakBefore w:val="0"/>
        <w:kinsoku/>
        <w:wordWrap/>
        <w:overflowPunct/>
        <w:topLinePunct w:val="0"/>
        <w:autoSpaceDE/>
        <w:autoSpaceDN/>
        <w:bidi w:val="0"/>
        <w:adjustRightInd/>
        <w:spacing w:line="600" w:lineRule="exact"/>
        <w:jc w:val="center"/>
        <w:rPr>
          <w:rFonts w:hint="eastAsia" w:ascii="仿宋_GB2312" w:hAnsi="仿宋_GB2312" w:eastAsia="仿宋_GB2312" w:cs="仿宋_GB2312"/>
          <w:kern w:val="0"/>
          <w:sz w:val="36"/>
          <w:szCs w:val="36"/>
          <w:lang w:val="en-US" w:eastAsia="zh-CN" w:bidi="en-US"/>
        </w:rPr>
      </w:pPr>
      <w:r>
        <w:rPr>
          <w:rFonts w:hint="eastAsia" w:ascii="仿宋_GB2312" w:hAnsi="仿宋_GB2312" w:eastAsia="仿宋_GB2312" w:cs="仿宋_GB2312"/>
          <w:kern w:val="0"/>
          <w:sz w:val="36"/>
          <w:szCs w:val="36"/>
          <w:lang w:bidi="en-US"/>
        </w:rPr>
        <w:t>填报时间：2023年</w:t>
      </w:r>
      <w:r>
        <w:rPr>
          <w:rFonts w:hint="eastAsia" w:ascii="仿宋_GB2312" w:hAnsi="仿宋_GB2312" w:eastAsia="仿宋_GB2312" w:cs="仿宋_GB2312"/>
          <w:kern w:val="0"/>
          <w:sz w:val="36"/>
          <w:szCs w:val="36"/>
          <w:lang w:val="en-US" w:eastAsia="zh-CN" w:bidi="en-US"/>
        </w:rPr>
        <w:t>3</w:t>
      </w:r>
      <w:r>
        <w:rPr>
          <w:rFonts w:hint="eastAsia" w:ascii="仿宋_GB2312" w:hAnsi="仿宋_GB2312" w:eastAsia="仿宋_GB2312" w:cs="仿宋_GB2312"/>
          <w:kern w:val="0"/>
          <w:sz w:val="36"/>
          <w:szCs w:val="36"/>
          <w:lang w:bidi="en-US"/>
        </w:rPr>
        <w:t>月</w:t>
      </w:r>
      <w:r>
        <w:rPr>
          <w:rFonts w:hint="eastAsia" w:ascii="仿宋_GB2312" w:hAnsi="仿宋_GB2312" w:eastAsia="仿宋_GB2312" w:cs="仿宋_GB2312"/>
          <w:kern w:val="0"/>
          <w:sz w:val="36"/>
          <w:szCs w:val="36"/>
          <w:lang w:val="en-US" w:eastAsia="zh-CN" w:bidi="en-US"/>
        </w:rPr>
        <w:t>15日</w:t>
      </w:r>
    </w:p>
    <w:p>
      <w:pPr>
        <w:pStyle w:val="2"/>
      </w:pPr>
    </w:p>
    <w:p>
      <w:pPr>
        <w:pStyle w:val="7"/>
        <w:keepNext w:val="0"/>
        <w:keepLines w:val="0"/>
        <w:pageBreakBefore w:val="0"/>
        <w:kinsoku/>
        <w:wordWrap/>
        <w:overflowPunct/>
        <w:topLinePunct w:val="0"/>
        <w:autoSpaceDE/>
        <w:autoSpaceDN/>
        <w:bidi w:val="0"/>
        <w:adjustRightInd/>
        <w:spacing w:line="600" w:lineRule="exact"/>
        <w:jc w:val="center"/>
        <w:rPr>
          <w:rFonts w:ascii="方正小标宋_GBK" w:hAnsi="黑体" w:eastAsia="方正小标宋_GBK" w:cs="黑体"/>
          <w:sz w:val="36"/>
          <w:szCs w:val="36"/>
        </w:rPr>
      </w:pPr>
      <w:r>
        <w:rPr>
          <w:rFonts w:hint="eastAsia" w:ascii="方正小标宋_GBK" w:hAnsi="黑体" w:eastAsia="方正小标宋_GBK" w:cs="黑体"/>
          <w:sz w:val="36"/>
          <w:szCs w:val="36"/>
        </w:rPr>
        <w:t>额敏县</w:t>
      </w:r>
      <w:r>
        <w:rPr>
          <w:rFonts w:hint="eastAsia" w:ascii="方正小标宋_GBK" w:hAnsi="黑体" w:eastAsia="方正小标宋_GBK" w:cs="黑体"/>
          <w:color w:val="000000" w:themeColor="text1"/>
          <w:sz w:val="36"/>
          <w:szCs w:val="36"/>
        </w:rPr>
        <w:t>霍吉尔特蒙古民族乡20</w:t>
      </w:r>
      <w:r>
        <w:rPr>
          <w:rFonts w:hint="eastAsia" w:ascii="方正小标宋_GBK" w:hAnsi="黑体" w:eastAsia="方正小标宋_GBK" w:cs="黑体"/>
          <w:sz w:val="36"/>
          <w:szCs w:val="36"/>
        </w:rPr>
        <w:t>22年财政衔接推进乡村振兴补助资金绩效自评总结报告</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一、绩效目标分解下达情况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（一）财政衔接推进乡村振兴补助资金下达预算及项目情况</w:t>
      </w:r>
    </w:p>
    <w:p>
      <w:pPr>
        <w:pStyle w:val="7"/>
        <w:keepNext w:val="0"/>
        <w:keepLines w:val="0"/>
        <w:pageBreakBefore w:val="0"/>
        <w:widowControl w:val="0"/>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1.下达预算情况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本项目合计下达资金79万元。全部为中央(自治区）财政衔接推进乡村振兴补助资金，具体如下：</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rPr>
          <w:rFonts w:hint="default" w:ascii="仿宋_GB2312" w:hAnsi="仿宋_GB2312" w:eastAsia="仿宋_GB2312" w:cs="仿宋_GB2312"/>
          <w:b/>
          <w:sz w:val="32"/>
          <w:szCs w:val="32"/>
          <w:lang w:val="en-US"/>
        </w:rPr>
      </w:pPr>
      <w:r>
        <w:rPr>
          <w:rFonts w:hint="eastAsia" w:ascii="仿宋_GB2312" w:hAnsi="仿宋_GB2312" w:eastAsia="仿宋_GB2312" w:cs="仿宋_GB2312"/>
          <w:b/>
          <w:bCs/>
          <w:color w:val="000000" w:themeColor="text1"/>
          <w:sz w:val="32"/>
          <w:szCs w:val="32"/>
          <w:lang w:val="en-US" w:eastAsia="zh-CN"/>
        </w:rPr>
        <w:t>2.</w:t>
      </w:r>
      <w:r>
        <w:rPr>
          <w:rFonts w:hint="eastAsia" w:ascii="仿宋_GB2312" w:hAnsi="仿宋_GB2312" w:eastAsia="仿宋_GB2312" w:cs="仿宋_GB2312"/>
          <w:color w:val="000000" w:themeColor="text1"/>
          <w:sz w:val="32"/>
          <w:szCs w:val="32"/>
        </w:rPr>
        <w:t>根据</w:t>
      </w:r>
      <w:r>
        <w:rPr>
          <w:rFonts w:hint="eastAsia" w:ascii="仿宋_GB2312" w:hAnsi="仿宋_GB2312" w:eastAsia="仿宋_GB2312" w:cs="仿宋_GB2312"/>
          <w:color w:val="000000" w:themeColor="text1"/>
          <w:sz w:val="32"/>
          <w:szCs w:val="32"/>
          <w:lang w:eastAsia="zh-CN"/>
        </w:rPr>
        <w:t>地区</w:t>
      </w:r>
      <w:r>
        <w:rPr>
          <w:rFonts w:hint="eastAsia" w:ascii="仿宋_GB2312" w:hAnsi="仿宋_GB2312" w:eastAsia="仿宋_GB2312" w:cs="仿宋_GB2312"/>
          <w:color w:val="000000" w:themeColor="text1"/>
          <w:sz w:val="32"/>
          <w:szCs w:val="32"/>
        </w:rPr>
        <w:t>财政局《</w:t>
      </w:r>
      <w:r>
        <w:rPr>
          <w:rFonts w:hint="eastAsia" w:ascii="仿宋_GB2312" w:hAnsi="仿宋_GB2312" w:eastAsia="仿宋_GB2312" w:cs="仿宋_GB2312"/>
          <w:color w:val="000000" w:themeColor="text1"/>
          <w:sz w:val="32"/>
          <w:szCs w:val="32"/>
          <w:lang w:val="en-US" w:eastAsia="zh-CN"/>
        </w:rPr>
        <w:t>提前下达2022年中央财政衔接推进乡村振兴补助资金预算的通知</w:t>
      </w:r>
      <w:r>
        <w:rPr>
          <w:rFonts w:hint="eastAsia" w:ascii="仿宋_GB2312" w:hAnsi="仿宋_GB2312" w:eastAsia="仿宋_GB2312" w:cs="仿宋_GB2312"/>
          <w:color w:val="000000" w:themeColor="text1"/>
          <w:sz w:val="32"/>
          <w:szCs w:val="32"/>
        </w:rPr>
        <w:t>》（塔地财扶［</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14</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关于提前下达2022年中央财政衔接推进乡村振兴补助资金预算的通知</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rPr>
        <w:t>（塔地财</w:t>
      </w:r>
      <w:r>
        <w:rPr>
          <w:rFonts w:hint="eastAsia" w:ascii="仿宋_GB2312" w:hAnsi="仿宋_GB2312" w:eastAsia="仿宋_GB2312" w:cs="仿宋_GB2312"/>
          <w:color w:val="000000" w:themeColor="text1"/>
          <w:sz w:val="32"/>
          <w:szCs w:val="32"/>
          <w:lang w:val="en-US" w:eastAsia="zh-CN"/>
        </w:rPr>
        <w:t>农</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eastAsia="zh-CN"/>
        </w:rPr>
        <w:t>202</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color w:val="000000" w:themeColor="text1"/>
          <w:sz w:val="32"/>
          <w:szCs w:val="32"/>
          <w:lang w:val="en-US" w:eastAsia="zh-CN"/>
        </w:rPr>
        <w:t>2</w:t>
      </w:r>
      <w:r>
        <w:rPr>
          <w:rFonts w:hint="eastAsia" w:ascii="仿宋_GB2312" w:hAnsi="仿宋_GB2312" w:eastAsia="仿宋_GB2312" w:cs="仿宋_GB2312"/>
          <w:color w:val="000000" w:themeColor="text1"/>
          <w:sz w:val="32"/>
          <w:szCs w:val="32"/>
        </w:rPr>
        <w:t>号）</w:t>
      </w:r>
      <w:r>
        <w:rPr>
          <w:rFonts w:hint="eastAsia" w:ascii="仿宋_GB2312" w:hAnsi="仿宋_GB2312" w:eastAsia="仿宋_GB2312" w:cs="仿宋_GB2312"/>
          <w:color w:val="000000" w:themeColor="text1"/>
          <w:sz w:val="32"/>
          <w:szCs w:val="32"/>
          <w:lang w:eastAsia="zh-CN"/>
        </w:rPr>
        <w:t>，</w:t>
      </w:r>
      <w:r>
        <w:rPr>
          <w:rFonts w:hint="eastAsia" w:ascii="仿宋_GB2312" w:hAnsi="仿宋_GB2312" w:eastAsia="仿宋_GB2312" w:cs="仿宋_GB2312"/>
          <w:color w:val="000000" w:themeColor="text1"/>
          <w:sz w:val="32"/>
          <w:szCs w:val="32"/>
          <w:lang w:val="en-US" w:eastAsia="zh-CN"/>
        </w:rPr>
        <w:t>下达2022年中央财政衔接推进乡村振兴补助资金79</w:t>
      </w:r>
      <w:r>
        <w:rPr>
          <w:rFonts w:hint="eastAsia" w:ascii="仿宋_GB2312" w:hAnsi="仿宋_GB2312" w:eastAsia="仿宋_GB2312" w:cs="仿宋_GB2312"/>
          <w:sz w:val="32"/>
          <w:szCs w:val="32"/>
        </w:rPr>
        <w:t>万元</w:t>
      </w:r>
    </w:p>
    <w:p>
      <w:pPr>
        <w:pStyle w:val="7"/>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3.</w:t>
      </w:r>
      <w:r>
        <w:rPr>
          <w:rFonts w:hint="eastAsia" w:ascii="仿宋_GB2312" w:hAnsi="仿宋_GB2312" w:eastAsia="仿宋_GB2312" w:cs="仿宋_GB2312"/>
          <w:b/>
          <w:sz w:val="32"/>
          <w:szCs w:val="32"/>
        </w:rPr>
        <w:t>项目情况</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根据额财农字〔2022〕2号，</w:t>
      </w:r>
      <w:r>
        <w:rPr>
          <w:rFonts w:hint="eastAsia" w:ascii="仿宋_GB2312" w:hAnsi="仿宋_GB2312" w:eastAsia="仿宋_GB2312" w:cs="仿宋_GB2312"/>
          <w:color w:val="000000" w:themeColor="text1"/>
          <w:sz w:val="32"/>
          <w:szCs w:val="32"/>
        </w:rPr>
        <w:t>关于下达2022年中央</w:t>
      </w:r>
      <w:r>
        <w:rPr>
          <w:rFonts w:hint="eastAsia" w:ascii="仿宋_GB2312" w:hAnsi="仿宋_GB2312" w:eastAsia="仿宋_GB2312" w:cs="仿宋_GB2312"/>
          <w:sz w:val="32"/>
          <w:szCs w:val="32"/>
        </w:rPr>
        <w:t>财政衔接推进乡村振兴补助资金预算的通知</w:t>
      </w:r>
      <w:r>
        <w:rPr>
          <w:rFonts w:hint="eastAsia" w:ascii="仿宋_GB2312" w:hAnsi="仿宋_GB2312" w:eastAsia="仿宋_GB2312" w:cs="仿宋_GB2312"/>
          <w:color w:val="000000" w:themeColor="text1"/>
          <w:sz w:val="32"/>
          <w:szCs w:val="32"/>
        </w:rPr>
        <w:t>文件，建设内</w:t>
      </w:r>
      <w:r>
        <w:rPr>
          <w:rFonts w:hint="eastAsia" w:ascii="仿宋_GB2312" w:hAnsi="仿宋_GB2312" w:eastAsia="仿宋_GB2312" w:cs="仿宋_GB2312"/>
          <w:sz w:val="32"/>
          <w:szCs w:val="32"/>
        </w:rPr>
        <w:t>容如下：自来水管线4300米，检查井32个及相关附属设施。</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项目总投资：</w:t>
      </w:r>
      <w:r>
        <w:rPr>
          <w:rFonts w:hint="eastAsia" w:ascii="仿宋_GB2312" w:hAnsi="仿宋_GB2312" w:eastAsia="仿宋_GB2312" w:cs="仿宋_GB2312"/>
          <w:color w:val="000000" w:themeColor="text1"/>
          <w:sz w:val="32"/>
          <w:szCs w:val="32"/>
        </w:rPr>
        <w:t>79</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主要建设内容：自来水管线4300米，检查井32个及相关附属设施。</w:t>
      </w:r>
    </w:p>
    <w:p>
      <w:pPr>
        <w:keepNext w:val="0"/>
        <w:keepLines w:val="0"/>
        <w:pageBreakBefore w:val="0"/>
        <w:widowControl w:val="0"/>
        <w:kinsoku/>
        <w:wordWrap/>
        <w:overflowPunct/>
        <w:topLinePunct w:val="0"/>
        <w:autoSpaceDE/>
        <w:autoSpaceDN/>
        <w:bidi w:val="0"/>
        <w:adjustRightInd/>
        <w:spacing w:line="600" w:lineRule="exact"/>
        <w:ind w:firstLine="643" w:firstLineChars="200"/>
        <w:jc w:val="both"/>
        <w:textAlignment w:val="baseline"/>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（二）财政衔接推进乡村振兴补助资金项目绩效目标设定情况</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根据我县财政衔接推进乡村振兴补助资金安排，该项目主要对脱贫村基础设施建设项目申报绩效目标。</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项目绩效总体目标设定如下：</w:t>
      </w:r>
    </w:p>
    <w:p>
      <w:pPr>
        <w:pStyle w:val="7"/>
        <w:keepNext w:val="0"/>
        <w:keepLines w:val="0"/>
        <w:pageBreakBefore w:val="0"/>
        <w:widowControl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目标1：自来水管线4300米，检查井32个及相关附属设施。提高区域供水质量，保证供水水压及供水水质，促进城乡供水一体化，保证新农村建设。</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sz w:val="32"/>
          <w:szCs w:val="32"/>
        </w:rPr>
        <w:t>具体绩效指标见下表：</w:t>
      </w:r>
    </w:p>
    <w:tbl>
      <w:tblPr>
        <w:tblStyle w:val="8"/>
        <w:tblW w:w="8841" w:type="dxa"/>
        <w:tblInd w:w="91" w:type="dxa"/>
        <w:tblLayout w:type="fixed"/>
        <w:tblCellMar>
          <w:top w:w="0" w:type="dxa"/>
          <w:left w:w="108" w:type="dxa"/>
          <w:bottom w:w="0" w:type="dxa"/>
          <w:right w:w="108" w:type="dxa"/>
        </w:tblCellMar>
      </w:tblPr>
      <w:tblGrid>
        <w:gridCol w:w="847"/>
        <w:gridCol w:w="1057"/>
        <w:gridCol w:w="2671"/>
        <w:gridCol w:w="2506"/>
        <w:gridCol w:w="1760"/>
      </w:tblGrid>
      <w:tr>
        <w:tblPrEx>
          <w:tblLayout w:type="fixed"/>
          <w:tblCellMar>
            <w:top w:w="0" w:type="dxa"/>
            <w:left w:w="108" w:type="dxa"/>
            <w:bottom w:w="0" w:type="dxa"/>
            <w:right w:w="108" w:type="dxa"/>
          </w:tblCellMar>
        </w:tblPrEx>
        <w:trPr>
          <w:trHeight w:val="630" w:hRule="atLeast"/>
        </w:trPr>
        <w:tc>
          <w:tcPr>
            <w:tcW w:w="8841"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52"/>
                <w:szCs w:val="52"/>
              </w:rPr>
            </w:pPr>
            <w:r>
              <w:rPr>
                <w:rFonts w:hint="eastAsia" w:ascii="宋体" w:hAnsi="宋体" w:cs="宋体"/>
                <w:b/>
                <w:bCs/>
                <w:kern w:val="0"/>
                <w:sz w:val="52"/>
                <w:szCs w:val="52"/>
              </w:rPr>
              <w:t>绩效目标申报表</w:t>
            </w:r>
          </w:p>
        </w:tc>
      </w:tr>
      <w:tr>
        <w:tblPrEx>
          <w:tblLayout w:type="fixed"/>
          <w:tblCellMar>
            <w:top w:w="0" w:type="dxa"/>
            <w:left w:w="108" w:type="dxa"/>
            <w:bottom w:w="0" w:type="dxa"/>
            <w:right w:w="108" w:type="dxa"/>
          </w:tblCellMar>
        </w:tblPrEx>
        <w:trPr>
          <w:trHeight w:val="379" w:hRule="atLeast"/>
        </w:trPr>
        <w:tc>
          <w:tcPr>
            <w:tcW w:w="8841"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8"/>
                <w:szCs w:val="28"/>
              </w:rPr>
            </w:pPr>
            <w:r>
              <w:rPr>
                <w:rFonts w:hint="eastAsia" w:ascii="宋体" w:hAnsi="宋体" w:cs="宋体"/>
                <w:b/>
                <w:bCs/>
                <w:kern w:val="0"/>
                <w:sz w:val="28"/>
                <w:szCs w:val="28"/>
              </w:rPr>
              <w:t>（2022年度）</w:t>
            </w:r>
          </w:p>
        </w:tc>
      </w:tr>
      <w:tr>
        <w:tblPrEx>
          <w:tblLayout w:type="fixed"/>
          <w:tblCellMar>
            <w:top w:w="0" w:type="dxa"/>
            <w:left w:w="108" w:type="dxa"/>
            <w:bottom w:w="0" w:type="dxa"/>
            <w:right w:w="108" w:type="dxa"/>
          </w:tblCellMar>
        </w:tblPrEx>
        <w:trPr>
          <w:trHeight w:val="1039" w:hRule="atLeast"/>
        </w:trPr>
        <w:tc>
          <w:tcPr>
            <w:tcW w:w="19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项目名称</w:t>
            </w:r>
          </w:p>
        </w:tc>
        <w:tc>
          <w:tcPr>
            <w:tcW w:w="267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额敏县霍吉尔特蒙古民族乡新建村安全饮水巩固提升建设</w:t>
            </w:r>
          </w:p>
        </w:tc>
        <w:tc>
          <w:tcPr>
            <w:tcW w:w="250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项目负责人及联系电话</w:t>
            </w:r>
          </w:p>
        </w:tc>
        <w:tc>
          <w:tcPr>
            <w:tcW w:w="17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殷胜18999480850</w:t>
            </w:r>
          </w:p>
        </w:tc>
      </w:tr>
      <w:tr>
        <w:tblPrEx>
          <w:tblLayout w:type="fixed"/>
          <w:tblCellMar>
            <w:top w:w="0" w:type="dxa"/>
            <w:left w:w="108" w:type="dxa"/>
            <w:bottom w:w="0" w:type="dxa"/>
            <w:right w:w="108" w:type="dxa"/>
          </w:tblCellMar>
        </w:tblPrEx>
        <w:trPr>
          <w:trHeight w:val="582" w:hRule="atLeast"/>
        </w:trPr>
        <w:tc>
          <w:tcPr>
            <w:tcW w:w="19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主管部门</w:t>
            </w:r>
          </w:p>
        </w:tc>
        <w:tc>
          <w:tcPr>
            <w:tcW w:w="26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额敏县乡村振兴局</w:t>
            </w: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实施单位</w:t>
            </w:r>
          </w:p>
        </w:tc>
        <w:tc>
          <w:tcPr>
            <w:tcW w:w="17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额敏县霍吉尔特蒙古民族乡</w:t>
            </w:r>
          </w:p>
        </w:tc>
      </w:tr>
      <w:tr>
        <w:tblPrEx>
          <w:tblLayout w:type="fixed"/>
          <w:tblCellMar>
            <w:top w:w="0" w:type="dxa"/>
            <w:left w:w="108" w:type="dxa"/>
            <w:bottom w:w="0" w:type="dxa"/>
            <w:right w:w="108" w:type="dxa"/>
          </w:tblCellMar>
        </w:tblPrEx>
        <w:trPr>
          <w:trHeight w:val="559" w:hRule="atLeast"/>
        </w:trPr>
        <w:tc>
          <w:tcPr>
            <w:tcW w:w="190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资金情况</w:t>
            </w:r>
            <w:r>
              <w:rPr>
                <w:rFonts w:hint="eastAsia" w:ascii="宋体" w:hAnsi="宋体" w:cs="宋体"/>
                <w:b/>
                <w:bCs/>
                <w:kern w:val="0"/>
                <w:sz w:val="24"/>
                <w:szCs w:val="24"/>
              </w:rPr>
              <w:br w:type="textWrapping"/>
            </w:r>
            <w:r>
              <w:rPr>
                <w:rFonts w:hint="eastAsia" w:ascii="宋体" w:hAnsi="宋体" w:cs="宋体"/>
                <w:b/>
                <w:bCs/>
                <w:kern w:val="0"/>
                <w:sz w:val="24"/>
                <w:szCs w:val="24"/>
              </w:rPr>
              <w:t>（万元）</w:t>
            </w:r>
          </w:p>
        </w:tc>
        <w:tc>
          <w:tcPr>
            <w:tcW w:w="26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ind w:firstLine="241" w:firstLineChars="100"/>
              <w:jc w:val="left"/>
              <w:rPr>
                <w:rFonts w:ascii="宋体" w:hAnsi="宋体" w:cs="宋体"/>
                <w:b/>
                <w:bCs/>
                <w:kern w:val="0"/>
                <w:sz w:val="24"/>
                <w:szCs w:val="24"/>
              </w:rPr>
            </w:pPr>
            <w:r>
              <w:rPr>
                <w:rFonts w:hint="eastAsia" w:ascii="宋体" w:hAnsi="宋体" w:cs="宋体"/>
                <w:b/>
                <w:bCs/>
                <w:kern w:val="0"/>
                <w:sz w:val="24"/>
                <w:szCs w:val="24"/>
              </w:rPr>
              <w:t>年度资金总额：</w:t>
            </w:r>
          </w:p>
        </w:tc>
        <w:tc>
          <w:tcPr>
            <w:tcW w:w="426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79</w:t>
            </w:r>
          </w:p>
        </w:tc>
      </w:tr>
      <w:tr>
        <w:tblPrEx>
          <w:tblLayout w:type="fixed"/>
          <w:tblCellMar>
            <w:top w:w="0" w:type="dxa"/>
            <w:left w:w="108" w:type="dxa"/>
            <w:bottom w:w="0" w:type="dxa"/>
            <w:right w:w="108" w:type="dxa"/>
          </w:tblCellMar>
        </w:tblPrEx>
        <w:trPr>
          <w:trHeight w:val="522" w:hRule="atLeast"/>
        </w:trPr>
        <w:tc>
          <w:tcPr>
            <w:tcW w:w="190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26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ind w:firstLine="241" w:firstLineChars="100"/>
              <w:jc w:val="right"/>
              <w:rPr>
                <w:rFonts w:ascii="宋体" w:hAnsi="宋体" w:cs="宋体"/>
                <w:b/>
                <w:bCs/>
                <w:kern w:val="0"/>
                <w:sz w:val="24"/>
                <w:szCs w:val="24"/>
              </w:rPr>
            </w:pPr>
            <w:r>
              <w:rPr>
                <w:rFonts w:hint="eastAsia" w:ascii="宋体" w:hAnsi="宋体" w:cs="宋体"/>
                <w:b/>
                <w:bCs/>
                <w:kern w:val="0"/>
                <w:sz w:val="24"/>
                <w:szCs w:val="24"/>
              </w:rPr>
              <w:t>其中：财政拨款</w:t>
            </w:r>
          </w:p>
        </w:tc>
        <w:tc>
          <w:tcPr>
            <w:tcW w:w="426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79</w:t>
            </w:r>
          </w:p>
        </w:tc>
      </w:tr>
      <w:tr>
        <w:tblPrEx>
          <w:tblLayout w:type="fixed"/>
          <w:tblCellMar>
            <w:top w:w="0" w:type="dxa"/>
            <w:left w:w="108" w:type="dxa"/>
            <w:bottom w:w="0" w:type="dxa"/>
            <w:right w:w="108" w:type="dxa"/>
          </w:tblCellMar>
        </w:tblPrEx>
        <w:trPr>
          <w:trHeight w:val="462" w:hRule="atLeast"/>
        </w:trPr>
        <w:tc>
          <w:tcPr>
            <w:tcW w:w="1904"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26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ind w:firstLine="241" w:firstLineChars="100"/>
              <w:jc w:val="right"/>
              <w:rPr>
                <w:rFonts w:ascii="宋体" w:hAnsi="宋体" w:cs="宋体"/>
                <w:b/>
                <w:bCs/>
                <w:kern w:val="0"/>
                <w:sz w:val="24"/>
                <w:szCs w:val="24"/>
              </w:rPr>
            </w:pPr>
            <w:r>
              <w:rPr>
                <w:rFonts w:hint="eastAsia" w:ascii="宋体" w:hAnsi="宋体" w:cs="宋体"/>
                <w:b/>
                <w:bCs/>
                <w:kern w:val="0"/>
                <w:sz w:val="24"/>
                <w:szCs w:val="24"/>
              </w:rPr>
              <w:t>其他资金</w:t>
            </w:r>
          </w:p>
        </w:tc>
        <w:tc>
          <w:tcPr>
            <w:tcW w:w="426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0</w:t>
            </w:r>
          </w:p>
        </w:tc>
      </w:tr>
      <w:tr>
        <w:tblPrEx>
          <w:tblLayout w:type="fixed"/>
          <w:tblCellMar>
            <w:top w:w="0" w:type="dxa"/>
            <w:left w:w="108" w:type="dxa"/>
            <w:bottom w:w="0" w:type="dxa"/>
            <w:right w:w="108" w:type="dxa"/>
          </w:tblCellMar>
        </w:tblPrEx>
        <w:trPr>
          <w:trHeight w:val="499" w:hRule="atLeast"/>
        </w:trPr>
        <w:tc>
          <w:tcPr>
            <w:tcW w:w="847"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总体目标</w:t>
            </w:r>
          </w:p>
        </w:tc>
        <w:tc>
          <w:tcPr>
            <w:tcW w:w="7994"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年度目标</w:t>
            </w:r>
          </w:p>
        </w:tc>
      </w:tr>
      <w:tr>
        <w:tblPrEx>
          <w:tblLayout w:type="fixed"/>
          <w:tblCellMar>
            <w:top w:w="0" w:type="dxa"/>
            <w:left w:w="108" w:type="dxa"/>
            <w:bottom w:w="0" w:type="dxa"/>
            <w:right w:w="108" w:type="dxa"/>
          </w:tblCellMar>
        </w:tblPrEx>
        <w:trPr>
          <w:trHeight w:val="960"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7994"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ind w:firstLine="240" w:firstLineChars="100"/>
              <w:jc w:val="left"/>
              <w:rPr>
                <w:rFonts w:ascii="宋体" w:hAnsi="宋体" w:cs="宋体"/>
                <w:kern w:val="0"/>
                <w:sz w:val="24"/>
                <w:szCs w:val="24"/>
              </w:rPr>
            </w:pPr>
            <w:r>
              <w:rPr>
                <w:rFonts w:hint="eastAsia" w:ascii="宋体" w:hAnsi="宋体" w:cs="宋体"/>
                <w:kern w:val="0"/>
                <w:sz w:val="24"/>
                <w:szCs w:val="24"/>
              </w:rPr>
              <w:t>计划新建自来水管线4300米，检查井32个及相关附属设施。项目实施后提高区域供水质量，保证供水水压及供水水质，促进城乡供水一体化，保证新农村建设.</w:t>
            </w:r>
          </w:p>
        </w:tc>
      </w:tr>
      <w:tr>
        <w:tblPrEx>
          <w:tblLayout w:type="fixed"/>
          <w:tblCellMar>
            <w:top w:w="0" w:type="dxa"/>
            <w:left w:w="108" w:type="dxa"/>
            <w:bottom w:w="0" w:type="dxa"/>
            <w:right w:w="108" w:type="dxa"/>
          </w:tblCellMar>
        </w:tblPrEx>
        <w:trPr>
          <w:trHeight w:val="679" w:hRule="atLeast"/>
        </w:trPr>
        <w:tc>
          <w:tcPr>
            <w:tcW w:w="847"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绩效指标</w:t>
            </w:r>
          </w:p>
        </w:tc>
        <w:tc>
          <w:tcPr>
            <w:tcW w:w="105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一级指标</w:t>
            </w:r>
          </w:p>
        </w:tc>
        <w:tc>
          <w:tcPr>
            <w:tcW w:w="26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二级指标</w:t>
            </w: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三级指标</w:t>
            </w:r>
          </w:p>
        </w:tc>
        <w:tc>
          <w:tcPr>
            <w:tcW w:w="17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b/>
                <w:bCs/>
                <w:kern w:val="0"/>
                <w:sz w:val="24"/>
                <w:szCs w:val="24"/>
              </w:rPr>
            </w:pPr>
            <w:r>
              <w:rPr>
                <w:rFonts w:hint="eastAsia" w:ascii="宋体" w:hAnsi="宋体" w:cs="宋体"/>
                <w:b/>
                <w:bCs/>
                <w:kern w:val="0"/>
                <w:sz w:val="24"/>
                <w:szCs w:val="24"/>
              </w:rPr>
              <w:t>指标值</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产出指标</w:t>
            </w:r>
          </w:p>
        </w:tc>
        <w:tc>
          <w:tcPr>
            <w:tcW w:w="2671"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数量指标</w:t>
            </w: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新建或改善村饮水设施数量</w:t>
            </w:r>
          </w:p>
        </w:tc>
        <w:tc>
          <w:tcPr>
            <w:tcW w:w="17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=1个</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自来水管线</w:t>
            </w:r>
          </w:p>
        </w:tc>
        <w:tc>
          <w:tcPr>
            <w:tcW w:w="17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=4300米</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检查井</w:t>
            </w:r>
          </w:p>
        </w:tc>
        <w:tc>
          <w:tcPr>
            <w:tcW w:w="17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=32个</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质量指标</w:t>
            </w: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项目完成率</w:t>
            </w:r>
          </w:p>
        </w:tc>
        <w:tc>
          <w:tcPr>
            <w:tcW w:w="17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=100%</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506"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饮水设施改造后水质达标率</w:t>
            </w:r>
          </w:p>
        </w:tc>
        <w:tc>
          <w:tcPr>
            <w:tcW w:w="1760"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≧99%</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restar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时效指标</w:t>
            </w:r>
          </w:p>
        </w:tc>
        <w:tc>
          <w:tcPr>
            <w:tcW w:w="2506"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开工时间</w:t>
            </w:r>
          </w:p>
        </w:tc>
        <w:tc>
          <w:tcPr>
            <w:tcW w:w="17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2022年4月</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50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完工时间</w:t>
            </w:r>
          </w:p>
        </w:tc>
        <w:tc>
          <w:tcPr>
            <w:tcW w:w="17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2022年8月</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成本指标</w:t>
            </w: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检查井</w:t>
            </w:r>
          </w:p>
        </w:tc>
        <w:tc>
          <w:tcPr>
            <w:tcW w:w="17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≤10万元</w:t>
            </w:r>
          </w:p>
        </w:tc>
      </w:tr>
      <w:tr>
        <w:tblPrEx>
          <w:tblLayout w:type="fixed"/>
          <w:tblCellMar>
            <w:top w:w="0" w:type="dxa"/>
            <w:left w:w="108" w:type="dxa"/>
            <w:bottom w:w="0" w:type="dxa"/>
            <w:right w:w="108" w:type="dxa"/>
          </w:tblCellMar>
        </w:tblPrEx>
        <w:trPr>
          <w:trHeight w:val="480"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50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管网</w:t>
            </w:r>
          </w:p>
        </w:tc>
        <w:tc>
          <w:tcPr>
            <w:tcW w:w="17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≤69万元</w:t>
            </w:r>
          </w:p>
        </w:tc>
      </w:tr>
      <w:tr>
        <w:tblPrEx>
          <w:tblLayout w:type="fixed"/>
          <w:tblCellMar>
            <w:top w:w="0" w:type="dxa"/>
            <w:left w:w="108" w:type="dxa"/>
            <w:bottom w:w="0" w:type="dxa"/>
            <w:right w:w="108" w:type="dxa"/>
          </w:tblCellMar>
        </w:tblPrEx>
        <w:trPr>
          <w:trHeight w:val="600"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restart"/>
            <w:tcBorders>
              <w:top w:val="single" w:color="auto" w:sz="4" w:space="0"/>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效益指标</w:t>
            </w:r>
          </w:p>
        </w:tc>
        <w:tc>
          <w:tcPr>
            <w:tcW w:w="26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可持续影响指标</w:t>
            </w:r>
          </w:p>
        </w:tc>
        <w:tc>
          <w:tcPr>
            <w:tcW w:w="2506"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工程设计使用年限</w:t>
            </w:r>
          </w:p>
        </w:tc>
        <w:tc>
          <w:tcPr>
            <w:tcW w:w="1760" w:type="dxa"/>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≧10年</w:t>
            </w:r>
          </w:p>
        </w:tc>
      </w:tr>
      <w:tr>
        <w:tblPrEx>
          <w:tblLayout w:type="fixed"/>
          <w:tblCellMar>
            <w:top w:w="0" w:type="dxa"/>
            <w:left w:w="108" w:type="dxa"/>
            <w:bottom w:w="0" w:type="dxa"/>
            <w:right w:w="108" w:type="dxa"/>
          </w:tblCellMar>
        </w:tblPrEx>
        <w:trPr>
          <w:trHeight w:val="61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restart"/>
            <w:tcBorders>
              <w:top w:val="nil"/>
              <w:left w:val="single" w:color="auto" w:sz="4" w:space="0"/>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社会效益指标</w:t>
            </w:r>
          </w:p>
        </w:tc>
        <w:tc>
          <w:tcPr>
            <w:tcW w:w="2506"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解决脱贫人口饮水安全问题人数</w:t>
            </w:r>
          </w:p>
        </w:tc>
        <w:tc>
          <w:tcPr>
            <w:tcW w:w="17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≥30人</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vMerge w:val="continue"/>
            <w:tcBorders>
              <w:top w:val="nil"/>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506"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受益脱贫人口数</w:t>
            </w:r>
          </w:p>
        </w:tc>
        <w:tc>
          <w:tcPr>
            <w:tcW w:w="17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≥30人</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生态效益指标</w:t>
            </w:r>
          </w:p>
        </w:tc>
        <w:tc>
          <w:tcPr>
            <w:tcW w:w="2506"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改善饮水环境</w:t>
            </w:r>
          </w:p>
        </w:tc>
        <w:tc>
          <w:tcPr>
            <w:tcW w:w="1760"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明显改善</w:t>
            </w:r>
          </w:p>
        </w:tc>
      </w:tr>
      <w:tr>
        <w:tblPrEx>
          <w:tblLayout w:type="fixed"/>
          <w:tblCellMar>
            <w:top w:w="0" w:type="dxa"/>
            <w:left w:w="108" w:type="dxa"/>
            <w:bottom w:w="0" w:type="dxa"/>
            <w:right w:w="108" w:type="dxa"/>
          </w:tblCellMar>
        </w:tblPrEx>
        <w:trPr>
          <w:trHeight w:val="499"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vMerge w:val="continue"/>
            <w:tcBorders>
              <w:top w:val="single" w:color="auto" w:sz="4" w:space="0"/>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kern w:val="0"/>
                <w:sz w:val="24"/>
                <w:szCs w:val="24"/>
              </w:rPr>
            </w:pPr>
          </w:p>
        </w:tc>
        <w:tc>
          <w:tcPr>
            <w:tcW w:w="2671" w:type="dxa"/>
            <w:tcBorders>
              <w:top w:val="single" w:color="auto" w:sz="4" w:space="0"/>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经济效益指标</w:t>
            </w:r>
          </w:p>
        </w:tc>
        <w:tc>
          <w:tcPr>
            <w:tcW w:w="250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　</w:t>
            </w:r>
          </w:p>
        </w:tc>
        <w:tc>
          <w:tcPr>
            <w:tcW w:w="17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　</w:t>
            </w:r>
          </w:p>
        </w:tc>
      </w:tr>
      <w:tr>
        <w:tblPrEx>
          <w:tblLayout w:type="fixed"/>
          <w:tblCellMar>
            <w:top w:w="0" w:type="dxa"/>
            <w:left w:w="108" w:type="dxa"/>
            <w:bottom w:w="0" w:type="dxa"/>
            <w:right w:w="108" w:type="dxa"/>
          </w:tblCellMar>
        </w:tblPrEx>
        <w:trPr>
          <w:trHeight w:val="660" w:hRule="atLeast"/>
        </w:trPr>
        <w:tc>
          <w:tcPr>
            <w:tcW w:w="847"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600" w:lineRule="exact"/>
              <w:jc w:val="left"/>
              <w:rPr>
                <w:rFonts w:ascii="宋体" w:hAnsi="宋体" w:cs="宋体"/>
                <w:b/>
                <w:bCs/>
                <w:kern w:val="0"/>
                <w:sz w:val="24"/>
                <w:szCs w:val="24"/>
              </w:rPr>
            </w:pPr>
          </w:p>
        </w:tc>
        <w:tc>
          <w:tcPr>
            <w:tcW w:w="105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满意度指标</w:t>
            </w:r>
          </w:p>
        </w:tc>
        <w:tc>
          <w:tcPr>
            <w:tcW w:w="267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服务对象满意度指标</w:t>
            </w:r>
          </w:p>
        </w:tc>
        <w:tc>
          <w:tcPr>
            <w:tcW w:w="25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受益户满意度</w:t>
            </w:r>
          </w:p>
        </w:tc>
        <w:tc>
          <w:tcPr>
            <w:tcW w:w="17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rPr>
                <w:rFonts w:ascii="宋体" w:hAnsi="宋体" w:cs="宋体"/>
                <w:kern w:val="0"/>
                <w:sz w:val="24"/>
                <w:szCs w:val="24"/>
              </w:rPr>
            </w:pPr>
            <w:r>
              <w:rPr>
                <w:rFonts w:hint="eastAsia" w:ascii="宋体" w:hAnsi="宋体" w:cs="宋体"/>
                <w:kern w:val="0"/>
                <w:sz w:val="24"/>
                <w:szCs w:val="24"/>
              </w:rPr>
              <w:t>≧90%</w:t>
            </w:r>
          </w:p>
        </w:tc>
      </w:tr>
    </w:tbl>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、绩效自评工作开展情况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（一）自评工作开展范围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项目合计下达资金</w:t>
      </w:r>
      <w:r>
        <w:rPr>
          <w:rFonts w:hint="eastAsia" w:ascii="仿宋_GB2312" w:hAnsi="仿宋_GB2312" w:eastAsia="仿宋_GB2312" w:cs="仿宋_GB2312"/>
          <w:color w:val="000000" w:themeColor="text1"/>
          <w:sz w:val="32"/>
          <w:szCs w:val="32"/>
        </w:rPr>
        <w:t>79万元</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rPr>
        <w:t>分析该项目资金使用、管理和项目实施等情况，规范项目申报、公示、审批、实施、监管、验收及资金发放等程序，对项目主管单位和实施单位的资金分配、管理等制度进行开展自评工作。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themeColor="text1"/>
          <w:sz w:val="32"/>
          <w:szCs w:val="32"/>
        </w:rPr>
      </w:pPr>
      <w:r>
        <w:rPr>
          <w:rFonts w:hint="eastAsia" w:ascii="仿宋_GB2312" w:hAnsi="仿宋_GB2312" w:eastAsia="仿宋_GB2312" w:cs="仿宋_GB2312"/>
          <w:b/>
          <w:color w:val="000000" w:themeColor="text1"/>
          <w:sz w:val="32"/>
          <w:szCs w:val="32"/>
        </w:rPr>
        <w:t>（二）自评工作开展对象</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z w:val="32"/>
          <w:szCs w:val="32"/>
        </w:rPr>
        <w:t>根据《中共中央国务院关于全面实施预算绩效管理的意见》（中发〔2018〕34号）；《项目支出绩效评价管理办法》（财预〔2020〕10号）；《自治区党委自治区人民政府关于全面实施预算绩效管理的实施意见》（新党发〔2018〕30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color w:val="000000" w:themeColor="text1"/>
          <w:sz w:val="32"/>
          <w:szCs w:val="32"/>
        </w:rPr>
        <w:t>《2023年度推进塔城地区全面实施预算绩效管理工作规划》等文件精神，及《新疆维吾尔自治区县级扶贫项目资金绩效管理操作指南（试行）》，对本</w:t>
      </w:r>
      <w:r>
        <w:rPr>
          <w:rFonts w:hint="eastAsia" w:ascii="仿宋_GB2312" w:hAnsi="仿宋_GB2312" w:eastAsia="仿宋_GB2312" w:cs="仿宋_GB2312"/>
          <w:bCs/>
          <w:sz w:val="32"/>
          <w:szCs w:val="32"/>
        </w:rPr>
        <w:t>项目的预算资金执行情况及绩效目标的完成情况开展自评。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highlight w:val="yellow"/>
        </w:rPr>
      </w:pPr>
      <w:r>
        <w:rPr>
          <w:rFonts w:hint="eastAsia" w:ascii="仿宋_GB2312" w:hAnsi="仿宋_GB2312" w:eastAsia="仿宋_GB2312" w:cs="仿宋_GB2312"/>
          <w:b/>
          <w:sz w:val="32"/>
          <w:szCs w:val="32"/>
        </w:rPr>
        <w:t>（三）自评工作开展时间</w:t>
      </w:r>
    </w:p>
    <w:p>
      <w:pPr>
        <w:pStyle w:val="7"/>
        <w:spacing w:line="360" w:lineRule="auto"/>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日至</w:t>
      </w:r>
      <w:r>
        <w:rPr>
          <w:rFonts w:hint="eastAsia" w:ascii="仿宋_GB2312" w:hAnsi="仿宋_GB2312" w:eastAsia="仿宋_GB2312" w:cs="仿宋_GB2312"/>
          <w:bCs/>
          <w:color w:val="auto"/>
          <w:sz w:val="32"/>
          <w:szCs w:val="32"/>
          <w:lang w:eastAsia="zh-CN"/>
        </w:rPr>
        <w:t>202</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15</w:t>
      </w:r>
      <w:r>
        <w:rPr>
          <w:rFonts w:hint="eastAsia" w:ascii="仿宋_GB2312" w:hAnsi="仿宋_GB2312" w:eastAsia="仿宋_GB2312" w:cs="仿宋_GB2312"/>
          <w:bCs/>
          <w:color w:val="auto"/>
          <w:sz w:val="32"/>
          <w:szCs w:val="32"/>
        </w:rPr>
        <w:t>日开展自评工作。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（四）自评工作开展方式</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1、前期准备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（1）整理项目全过程资料建档：资金及项目内容批复文件、绩效目标申报表、实施方案、验收等作为评价基础资料。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（2）由本单位、主管科室、财务等人员组成评价组。</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（3）自评工作组采取“目标预定与实施效果比较法”进行评价，评价指标体系以绩效目标申报表中的指标为依据。</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2、组织过程</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（1）采取现场和非现场评价相结合的方式实施评价，核查核实评价基础资料。</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（2）记录工作底稿并经项目负责人和经办人签字确认。需要调查问卷的，发放调查问卷开展满意度调查工作。</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3、分析评价</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对采集的数据资料进行复核汇总、分类整理和综合分析，按照设立的评价指标、标准、权重、方法实施评价，并形成评价结论。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三</w:t>
      </w:r>
      <w:r>
        <w:rPr>
          <w:rFonts w:hint="eastAsia" w:ascii="仿宋_GB2312" w:hAnsi="仿宋_GB2312" w:eastAsia="仿宋_GB2312" w:cs="仿宋_GB2312"/>
          <w:b/>
          <w:sz w:val="32"/>
          <w:szCs w:val="32"/>
        </w:rPr>
        <w:t>、绩效目标自评完成情况分析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（一）资金投入情况分析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1.项目资金到位情况分析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本项目全部预算资金79万元，实际到位</w:t>
      </w:r>
      <w:r>
        <w:rPr>
          <w:rFonts w:hint="eastAsia" w:ascii="仿宋_GB2312" w:hAnsi="仿宋_GB2312" w:eastAsia="仿宋_GB2312" w:cs="仿宋_GB2312"/>
          <w:color w:val="000000" w:themeColor="text1"/>
          <w:sz w:val="32"/>
          <w:szCs w:val="32"/>
        </w:rPr>
        <w:t>79万</w:t>
      </w:r>
      <w:r>
        <w:rPr>
          <w:rFonts w:hint="eastAsia" w:ascii="仿宋_GB2312" w:hAnsi="仿宋_GB2312" w:eastAsia="仿宋_GB2312" w:cs="仿宋_GB2312"/>
          <w:sz w:val="32"/>
          <w:szCs w:val="32"/>
        </w:rPr>
        <w:t>元，全部为中央财政衔接推进乡村振兴补助资金，资金</w:t>
      </w:r>
      <w:r>
        <w:rPr>
          <w:rFonts w:hint="eastAsia" w:ascii="仿宋_GB2312" w:hAnsi="仿宋_GB2312" w:eastAsia="仿宋_GB2312" w:cs="仿宋_GB2312"/>
          <w:bCs/>
          <w:sz w:val="32"/>
          <w:szCs w:val="32"/>
        </w:rPr>
        <w:t>预算到位率100%。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2.项目资金执行情况分析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本项目全部预算资金79万元，全年执行数75.01万元，资金执行率94.95%</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3.项目资金管理情况分析</w:t>
      </w:r>
    </w:p>
    <w:p>
      <w:pPr>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本项目资金的使用符合国家财经法规和财务管理制度以及有关专项资金管理办法的规定。同时，资金的拨付有完整的审批程序和手续，符合项目预算批复或合同规定的用途，不存在截留、挤占、挪用、虚列支出等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（二）绩效目标完成情况分析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通过项目的实施，达到改善脱贫户的居住环境的目标，助力了乡村振兴。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总体目标完成情况：</w:t>
      </w:r>
      <w:r>
        <w:rPr>
          <w:rFonts w:hint="eastAsia" w:ascii="仿宋_GB2312" w:hAnsi="仿宋_GB2312" w:eastAsia="仿宋_GB2312" w:cs="仿宋_GB2312"/>
          <w:bCs/>
          <w:sz w:val="32"/>
          <w:szCs w:val="32"/>
        </w:rPr>
        <w:t>截止2022年12月31日，已经支付75.01万元，项目按照计划正常实行，实际自来水管线4300米，检查井32个及相关附属设施。工程使用年限10年，提高区域供水质量，保证供水水压及供水水质，促进城乡供水一体化，保证新农村建设，农牧民满意度达90%，该项目严格按照计划实施，并有效保障了绩效自评工作的顺利开展。本项目共设置一级指标3个，二级指标9个，三级指标14个，其中已完成三级指标14个，指标完成率为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1.产出指标完成情况分析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（1）数量指标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新建或改善村饮水设施数量，指标值：1个 ，实际完成值1个</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自来水管网，指标值：4300米 ，实际完成值4300米</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rPr>
        <w:t>检查井，指标值：32个 ，实际完成值32个</w:t>
      </w:r>
      <w:r>
        <w:rPr>
          <w:rFonts w:hint="eastAsia" w:ascii="仿宋_GB2312" w:hAnsi="仿宋_GB2312" w:eastAsia="仿宋_GB2312" w:cs="仿宋_GB2312"/>
          <w:bCs/>
          <w:sz w:val="32"/>
          <w:szCs w:val="32"/>
          <w:lang w:eastAsia="zh-CN"/>
        </w:rPr>
        <w:t>。</w:t>
      </w:r>
    </w:p>
    <w:p>
      <w:pPr>
        <w:pStyle w:val="7"/>
        <w:keepNext w:val="0"/>
        <w:keepLines w:val="0"/>
        <w:pageBreakBefore w:val="0"/>
        <w:widowControl w:val="0"/>
        <w:numPr>
          <w:ilvl w:val="0"/>
          <w:numId w:val="1"/>
        </w:numPr>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质量指标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项目完成率（100%）：年度指标值100%，全年实际值100%。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饮水设施改造后水质达标率：年度指标值100%，全年实际值100%。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在计划期限内完成验收，验收结果评定为合格，并且已经投入使用，助力乡村振兴。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（3）时效指标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开工时间：年度指标值2022年4月，全年实际值2022年4月。</w:t>
      </w:r>
      <w:r>
        <w:rPr>
          <w:rFonts w:hint="eastAsia" w:ascii="仿宋_GB2312" w:hAnsi="仿宋_GB2312" w:eastAsia="仿宋_GB2312" w:cs="仿宋_GB2312"/>
          <w:bCs/>
          <w:sz w:val="32"/>
          <w:szCs w:val="32"/>
        </w:rPr>
        <w:t>指标完成率100%。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完工时间：年度指标值2022年8月，全年实际值2022年8月。</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（4）成本指标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sz w:val="32"/>
          <w:szCs w:val="32"/>
        </w:rPr>
        <w:t>检查井:年度指标值≤10万元，全年实际完成指标值</w:t>
      </w:r>
      <w:r>
        <w:rPr>
          <w:rFonts w:hint="eastAsia" w:ascii="仿宋_GB2312" w:hAnsi="仿宋_GB2312" w:eastAsia="仿宋_GB2312" w:cs="仿宋_GB2312"/>
          <w:color w:val="000000"/>
          <w:sz w:val="32"/>
          <w:szCs w:val="32"/>
          <w:lang w:val="en-US" w:eastAsia="zh-CN"/>
        </w:rPr>
        <w:t>6.51</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管网:年度指标值≤69万元，全年实际完成指标值</w:t>
      </w:r>
      <w:r>
        <w:rPr>
          <w:rFonts w:hint="eastAsia" w:ascii="仿宋_GB2312" w:hAnsi="仿宋_GB2312" w:eastAsia="仿宋_GB2312" w:cs="仿宋_GB2312"/>
          <w:color w:val="000000"/>
          <w:sz w:val="32"/>
          <w:szCs w:val="32"/>
          <w:lang w:val="en-US" w:eastAsia="zh-CN"/>
        </w:rPr>
        <w:t>68.5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2.效益指标完成情况分析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（1）社会效益指标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解决脱贫人口饮水安全问题人数：年度指标值30人，全年实际值30人。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受益脱贫人口数：</w:t>
      </w:r>
      <w:r>
        <w:rPr>
          <w:rFonts w:hint="eastAsia" w:ascii="仿宋_GB2312" w:hAnsi="仿宋_GB2312" w:eastAsia="仿宋_GB2312" w:cs="仿宋_GB2312"/>
          <w:color w:val="000000"/>
          <w:sz w:val="32"/>
          <w:szCs w:val="32"/>
        </w:rPr>
        <w:t>年度指标值30人，全年实际值30人。</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（2）可持续影响指标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工程设计使用年限：年度指标值≥10年，全年实际值10年。</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（3）生态效益指标:</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000000"/>
          <w:sz w:val="32"/>
          <w:szCs w:val="32"/>
        </w:rPr>
        <w:t>改善饮水环境，年度指标值：明显改善。全年实际值：明显改善</w:t>
      </w:r>
      <w:r>
        <w:rPr>
          <w:rFonts w:hint="eastAsia" w:ascii="仿宋_GB2312" w:hAnsi="仿宋_GB2312" w:eastAsia="仿宋_GB2312" w:cs="仿宋_GB2312"/>
          <w:bCs/>
          <w:sz w:val="32"/>
          <w:szCs w:val="32"/>
        </w:rPr>
        <w:t>。</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3.满意度指标完成情况分析</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受益人口满意度：年度指标值≥90%，经统计，全年实际值等于90%。</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、偏离绩效目标的原因和下一步改进措施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（一）偏离绩效目标的原因</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sz w:val="32"/>
          <w:szCs w:val="32"/>
        </w:rPr>
        <w:t>本项目预算执行率为94.5%，</w:t>
      </w:r>
      <w:r>
        <w:rPr>
          <w:rFonts w:hint="eastAsia" w:ascii="仿宋_GB2312" w:hAnsi="仿宋_GB2312" w:eastAsia="仿宋_GB2312" w:cs="仿宋_GB2312"/>
          <w:color w:val="000000" w:themeColor="text1"/>
          <w:sz w:val="32"/>
          <w:szCs w:val="32"/>
        </w:rPr>
        <w:t>首先因项目通过工程审计，工程总价审减，项目成本减少，其次项目质保期未到，3%质保金尚未支付，造成执行率偏差5.5%。</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（二）下一步改进措施</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本项目按照预期内完成项目建设及资金补助，已经保障了群众饮水安全，提高改善饮水的标准，实现为彻底打赢脱贫攻坚战夯实基础的目标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 xml:space="preserve">在今后的补助项目当中对设计目标要提高设计标准，优化、细化方案，对各项指标和指标值的设定要进一步优化、完善。  </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今后对饮水基础设施建设补助项目进行跟踪管理，做好抽查巡查机制，以便使补助资金的发放发挥更大的效益。</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3" w:firstLineChars="200"/>
        <w:jc w:val="both"/>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五、绩效自评结果拟应用和公开情况</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经综合评价，本项目实施达成预期指标，资金使用、管理、保障到位，严格执行</w:t>
      </w:r>
      <w:r>
        <w:rPr>
          <w:rFonts w:hint="eastAsia" w:ascii="仿宋_GB2312" w:hAnsi="仿宋_GB2312" w:eastAsia="仿宋_GB2312" w:cs="仿宋_GB2312"/>
          <w:bCs/>
          <w:sz w:val="32"/>
          <w:szCs w:val="32"/>
        </w:rPr>
        <w:t>《中央财政衔接推进乡村振兴补助资金管理办法》</w:t>
      </w:r>
      <w:r>
        <w:rPr>
          <w:rFonts w:hint="eastAsia" w:ascii="仿宋_GB2312" w:hAnsi="仿宋_GB2312" w:eastAsia="仿宋_GB2312" w:cs="仿宋_GB2312"/>
          <w:iCs/>
          <w:sz w:val="32"/>
          <w:szCs w:val="32"/>
        </w:rPr>
        <w:t>，能按照实施方案执行项目管理，达到保障群众饮水条件，提高改善了饮水质量，助力了乡村振兴。</w:t>
      </w:r>
      <w:r>
        <w:rPr>
          <w:rFonts w:hint="eastAsia" w:ascii="仿宋_GB2312" w:hAnsi="仿宋_GB2312" w:eastAsia="仿宋_GB2312" w:cs="仿宋_GB2312"/>
          <w:sz w:val="32"/>
          <w:szCs w:val="32"/>
        </w:rPr>
        <w:t>今后要积极采取其他部门的反馈意见，针对反馈意见，在今后的补助项目当中举一反三，提高项目建设管理能力，</w:t>
      </w:r>
      <w:r>
        <w:rPr>
          <w:rFonts w:hint="eastAsia" w:ascii="仿宋_GB2312" w:hAnsi="仿宋_GB2312" w:eastAsia="仿宋_GB2312" w:cs="仿宋_GB2312"/>
          <w:iCs/>
          <w:sz w:val="32"/>
          <w:szCs w:val="32"/>
        </w:rPr>
        <w:t>为下一阶段开展工作做好准备。</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本项目，综合自评得分为99.5分。</w:t>
      </w:r>
    </w:p>
    <w:p>
      <w:pPr>
        <w:pStyle w:val="7"/>
        <w:keepNext w:val="0"/>
        <w:keepLines w:val="0"/>
        <w:pageBreakBefore w:val="0"/>
        <w:widowControl w:val="0"/>
        <w:kinsoku/>
        <w:wordWrap/>
        <w:overflowPunct/>
        <w:topLinePunct w:val="0"/>
        <w:autoSpaceDE/>
        <w:autoSpaceDN/>
        <w:bidi w:val="0"/>
        <w:adjustRightInd/>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本项目绩效自评报告将按照规定要求，通过门户网站或张榜公示等方式向社会公开，接受社会监督。</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9</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730C2"/>
    <w:multiLevelType w:val="singleLevel"/>
    <w:tmpl w:val="350730C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JkNGRiOGJhMTY3MzI2YmMxYjJmOGYyNjBmZjFmZGQifQ=="/>
    <w:docVar w:name="KSO_WPS_MARK_KEY" w:val="cc90900d-22ff-4d28-88eb-75c87d0ea992"/>
  </w:docVars>
  <w:rsids>
    <w:rsidRoot w:val="00172A27"/>
    <w:rsid w:val="00007947"/>
    <w:rsid w:val="000635A2"/>
    <w:rsid w:val="00076C79"/>
    <w:rsid w:val="000A5A76"/>
    <w:rsid w:val="000B0F63"/>
    <w:rsid w:val="000D439B"/>
    <w:rsid w:val="000E59AC"/>
    <w:rsid w:val="00101E48"/>
    <w:rsid w:val="001157CD"/>
    <w:rsid w:val="001510A9"/>
    <w:rsid w:val="00164B84"/>
    <w:rsid w:val="00172A27"/>
    <w:rsid w:val="001866F7"/>
    <w:rsid w:val="001C04CF"/>
    <w:rsid w:val="001D316D"/>
    <w:rsid w:val="001E307F"/>
    <w:rsid w:val="001E7876"/>
    <w:rsid w:val="001E7FF6"/>
    <w:rsid w:val="001F1A6C"/>
    <w:rsid w:val="00212E69"/>
    <w:rsid w:val="002431FF"/>
    <w:rsid w:val="00244CE7"/>
    <w:rsid w:val="00262BB2"/>
    <w:rsid w:val="002B12DE"/>
    <w:rsid w:val="002B6039"/>
    <w:rsid w:val="002C513E"/>
    <w:rsid w:val="002D77BF"/>
    <w:rsid w:val="002E6EE1"/>
    <w:rsid w:val="0031466F"/>
    <w:rsid w:val="00350956"/>
    <w:rsid w:val="00352969"/>
    <w:rsid w:val="00362FEA"/>
    <w:rsid w:val="003A15F4"/>
    <w:rsid w:val="003B7082"/>
    <w:rsid w:val="004041FF"/>
    <w:rsid w:val="004167C2"/>
    <w:rsid w:val="00425639"/>
    <w:rsid w:val="004611E5"/>
    <w:rsid w:val="00477BED"/>
    <w:rsid w:val="00481536"/>
    <w:rsid w:val="004A3CCC"/>
    <w:rsid w:val="004B718E"/>
    <w:rsid w:val="004D5AD8"/>
    <w:rsid w:val="00504210"/>
    <w:rsid w:val="00525C9E"/>
    <w:rsid w:val="00531CF5"/>
    <w:rsid w:val="005418BC"/>
    <w:rsid w:val="00544B1C"/>
    <w:rsid w:val="00564F9E"/>
    <w:rsid w:val="0057435B"/>
    <w:rsid w:val="00590CF1"/>
    <w:rsid w:val="005B2ED5"/>
    <w:rsid w:val="005C3F39"/>
    <w:rsid w:val="005E6AC9"/>
    <w:rsid w:val="00607882"/>
    <w:rsid w:val="00622812"/>
    <w:rsid w:val="0062756A"/>
    <w:rsid w:val="00632633"/>
    <w:rsid w:val="00637041"/>
    <w:rsid w:val="00667BD1"/>
    <w:rsid w:val="00673E8D"/>
    <w:rsid w:val="00687AB4"/>
    <w:rsid w:val="00691762"/>
    <w:rsid w:val="006B7D94"/>
    <w:rsid w:val="006E2ADE"/>
    <w:rsid w:val="006F0EF4"/>
    <w:rsid w:val="00720B35"/>
    <w:rsid w:val="007577AB"/>
    <w:rsid w:val="00773F9C"/>
    <w:rsid w:val="0077493A"/>
    <w:rsid w:val="00797E86"/>
    <w:rsid w:val="007E27EC"/>
    <w:rsid w:val="007E5B8D"/>
    <w:rsid w:val="007F6575"/>
    <w:rsid w:val="008142E8"/>
    <w:rsid w:val="0082407E"/>
    <w:rsid w:val="00830D48"/>
    <w:rsid w:val="00844DAC"/>
    <w:rsid w:val="0084710D"/>
    <w:rsid w:val="0085105A"/>
    <w:rsid w:val="0085754A"/>
    <w:rsid w:val="00866CCE"/>
    <w:rsid w:val="00871902"/>
    <w:rsid w:val="008B5872"/>
    <w:rsid w:val="008C17FA"/>
    <w:rsid w:val="008E2DE1"/>
    <w:rsid w:val="008E65EA"/>
    <w:rsid w:val="00911022"/>
    <w:rsid w:val="00923C64"/>
    <w:rsid w:val="009355FA"/>
    <w:rsid w:val="0096053C"/>
    <w:rsid w:val="009778BB"/>
    <w:rsid w:val="00980784"/>
    <w:rsid w:val="0098475C"/>
    <w:rsid w:val="009867F1"/>
    <w:rsid w:val="009B148D"/>
    <w:rsid w:val="009F314D"/>
    <w:rsid w:val="009F753E"/>
    <w:rsid w:val="00A03DF1"/>
    <w:rsid w:val="00A156F8"/>
    <w:rsid w:val="00A17134"/>
    <w:rsid w:val="00A57C2B"/>
    <w:rsid w:val="00A73456"/>
    <w:rsid w:val="00A801EE"/>
    <w:rsid w:val="00A95EFA"/>
    <w:rsid w:val="00AA4694"/>
    <w:rsid w:val="00AB72EF"/>
    <w:rsid w:val="00AB7982"/>
    <w:rsid w:val="00AD5E72"/>
    <w:rsid w:val="00B02131"/>
    <w:rsid w:val="00B133B4"/>
    <w:rsid w:val="00B31775"/>
    <w:rsid w:val="00B7041E"/>
    <w:rsid w:val="00B73CAC"/>
    <w:rsid w:val="00B85DDB"/>
    <w:rsid w:val="00B86EBC"/>
    <w:rsid w:val="00BA2783"/>
    <w:rsid w:val="00BB675A"/>
    <w:rsid w:val="00BC48B7"/>
    <w:rsid w:val="00BD30BB"/>
    <w:rsid w:val="00C111A9"/>
    <w:rsid w:val="00C169DE"/>
    <w:rsid w:val="00C57DE3"/>
    <w:rsid w:val="00C64C9A"/>
    <w:rsid w:val="00C869CB"/>
    <w:rsid w:val="00C9484E"/>
    <w:rsid w:val="00CA3978"/>
    <w:rsid w:val="00CA4236"/>
    <w:rsid w:val="00D0350C"/>
    <w:rsid w:val="00D0710E"/>
    <w:rsid w:val="00D3237E"/>
    <w:rsid w:val="00D62509"/>
    <w:rsid w:val="00D7602C"/>
    <w:rsid w:val="00D91433"/>
    <w:rsid w:val="00D9581A"/>
    <w:rsid w:val="00DA0168"/>
    <w:rsid w:val="00DF488F"/>
    <w:rsid w:val="00E03900"/>
    <w:rsid w:val="00E03ACE"/>
    <w:rsid w:val="00E11135"/>
    <w:rsid w:val="00E1166D"/>
    <w:rsid w:val="00E36AAD"/>
    <w:rsid w:val="00E71378"/>
    <w:rsid w:val="00E94F02"/>
    <w:rsid w:val="00EA3B19"/>
    <w:rsid w:val="00EA65B9"/>
    <w:rsid w:val="00EC26DC"/>
    <w:rsid w:val="00EE57E9"/>
    <w:rsid w:val="00F2431C"/>
    <w:rsid w:val="00F6275C"/>
    <w:rsid w:val="00F638FB"/>
    <w:rsid w:val="00F728D0"/>
    <w:rsid w:val="00F76C6F"/>
    <w:rsid w:val="00FA5E65"/>
    <w:rsid w:val="00FB1E09"/>
    <w:rsid w:val="00FB6DDD"/>
    <w:rsid w:val="00FE5DD3"/>
    <w:rsid w:val="00FE6781"/>
    <w:rsid w:val="013F1246"/>
    <w:rsid w:val="01484C81"/>
    <w:rsid w:val="01B82838"/>
    <w:rsid w:val="02094D6F"/>
    <w:rsid w:val="04D836D0"/>
    <w:rsid w:val="04DE101D"/>
    <w:rsid w:val="05213F70"/>
    <w:rsid w:val="05356534"/>
    <w:rsid w:val="062866AB"/>
    <w:rsid w:val="068A151F"/>
    <w:rsid w:val="06FF227F"/>
    <w:rsid w:val="0775008D"/>
    <w:rsid w:val="07DD21AF"/>
    <w:rsid w:val="0811193C"/>
    <w:rsid w:val="085F5D7F"/>
    <w:rsid w:val="08A8436F"/>
    <w:rsid w:val="08C933D8"/>
    <w:rsid w:val="093259F3"/>
    <w:rsid w:val="09913E17"/>
    <w:rsid w:val="0A375730"/>
    <w:rsid w:val="0B530AC9"/>
    <w:rsid w:val="0B804FD7"/>
    <w:rsid w:val="0C293915"/>
    <w:rsid w:val="0F40581B"/>
    <w:rsid w:val="10345B46"/>
    <w:rsid w:val="10C671FB"/>
    <w:rsid w:val="10E93E90"/>
    <w:rsid w:val="11826F8A"/>
    <w:rsid w:val="126F7391"/>
    <w:rsid w:val="12900B58"/>
    <w:rsid w:val="130D64A2"/>
    <w:rsid w:val="147C1B29"/>
    <w:rsid w:val="149B7734"/>
    <w:rsid w:val="167C17F1"/>
    <w:rsid w:val="16AC4E5E"/>
    <w:rsid w:val="16DE521B"/>
    <w:rsid w:val="17C35302"/>
    <w:rsid w:val="180343EB"/>
    <w:rsid w:val="1870263E"/>
    <w:rsid w:val="18835A91"/>
    <w:rsid w:val="1E700C52"/>
    <w:rsid w:val="1F203647"/>
    <w:rsid w:val="20CC311F"/>
    <w:rsid w:val="21A31C30"/>
    <w:rsid w:val="231A3433"/>
    <w:rsid w:val="234174BA"/>
    <w:rsid w:val="2397375D"/>
    <w:rsid w:val="245A462F"/>
    <w:rsid w:val="247C0DC3"/>
    <w:rsid w:val="24CC7E8F"/>
    <w:rsid w:val="2558727E"/>
    <w:rsid w:val="25E237FF"/>
    <w:rsid w:val="26D75013"/>
    <w:rsid w:val="273E292C"/>
    <w:rsid w:val="2766466B"/>
    <w:rsid w:val="27851253"/>
    <w:rsid w:val="27FC1492"/>
    <w:rsid w:val="28C234B9"/>
    <w:rsid w:val="29074326"/>
    <w:rsid w:val="29A44584"/>
    <w:rsid w:val="2A0A292C"/>
    <w:rsid w:val="2A2C02EA"/>
    <w:rsid w:val="2A636B36"/>
    <w:rsid w:val="2AF6579E"/>
    <w:rsid w:val="2B1D76C8"/>
    <w:rsid w:val="2B424747"/>
    <w:rsid w:val="2C2A56DC"/>
    <w:rsid w:val="2D992BED"/>
    <w:rsid w:val="2F4E3FEE"/>
    <w:rsid w:val="2FFA732F"/>
    <w:rsid w:val="30356EEC"/>
    <w:rsid w:val="30FD5D6F"/>
    <w:rsid w:val="31E969EE"/>
    <w:rsid w:val="32611749"/>
    <w:rsid w:val="32FC739D"/>
    <w:rsid w:val="3373180F"/>
    <w:rsid w:val="34E7513E"/>
    <w:rsid w:val="35623DE4"/>
    <w:rsid w:val="35723D4D"/>
    <w:rsid w:val="35B45C86"/>
    <w:rsid w:val="360B3381"/>
    <w:rsid w:val="3679623C"/>
    <w:rsid w:val="36FC0C18"/>
    <w:rsid w:val="374544A5"/>
    <w:rsid w:val="3765282F"/>
    <w:rsid w:val="37966E9D"/>
    <w:rsid w:val="38B811F7"/>
    <w:rsid w:val="38F961F6"/>
    <w:rsid w:val="399C2EE0"/>
    <w:rsid w:val="39B95BC6"/>
    <w:rsid w:val="3A4F7E7B"/>
    <w:rsid w:val="3A644887"/>
    <w:rsid w:val="3B6411D4"/>
    <w:rsid w:val="3B980E30"/>
    <w:rsid w:val="3CB939B5"/>
    <w:rsid w:val="3D185B36"/>
    <w:rsid w:val="3FAD443E"/>
    <w:rsid w:val="40284A51"/>
    <w:rsid w:val="411671AB"/>
    <w:rsid w:val="41615490"/>
    <w:rsid w:val="41B3224E"/>
    <w:rsid w:val="42635443"/>
    <w:rsid w:val="42881B73"/>
    <w:rsid w:val="42C41CE4"/>
    <w:rsid w:val="42EC6A00"/>
    <w:rsid w:val="43964C28"/>
    <w:rsid w:val="43D752E4"/>
    <w:rsid w:val="44123161"/>
    <w:rsid w:val="46736836"/>
    <w:rsid w:val="46A462C3"/>
    <w:rsid w:val="48A10D2F"/>
    <w:rsid w:val="491F544A"/>
    <w:rsid w:val="4B652BCD"/>
    <w:rsid w:val="4BF34932"/>
    <w:rsid w:val="4CE332BC"/>
    <w:rsid w:val="4D1B3A70"/>
    <w:rsid w:val="4D8F554E"/>
    <w:rsid w:val="4F0423DC"/>
    <w:rsid w:val="4F41037F"/>
    <w:rsid w:val="4FBC5B56"/>
    <w:rsid w:val="4FBF090F"/>
    <w:rsid w:val="50F92314"/>
    <w:rsid w:val="529C3F04"/>
    <w:rsid w:val="546D5D37"/>
    <w:rsid w:val="54F92511"/>
    <w:rsid w:val="550106AB"/>
    <w:rsid w:val="59385552"/>
    <w:rsid w:val="5A5844D1"/>
    <w:rsid w:val="5B127569"/>
    <w:rsid w:val="5B8337A3"/>
    <w:rsid w:val="5B9655EE"/>
    <w:rsid w:val="5CA066E2"/>
    <w:rsid w:val="5DA35E7E"/>
    <w:rsid w:val="5E517D5D"/>
    <w:rsid w:val="5F0A38BC"/>
    <w:rsid w:val="5F860125"/>
    <w:rsid w:val="60565B67"/>
    <w:rsid w:val="6068521B"/>
    <w:rsid w:val="60B66CB8"/>
    <w:rsid w:val="61F17DCD"/>
    <w:rsid w:val="639C4549"/>
    <w:rsid w:val="651B358E"/>
    <w:rsid w:val="651F3ADB"/>
    <w:rsid w:val="65246B24"/>
    <w:rsid w:val="663D1E8A"/>
    <w:rsid w:val="66E519D9"/>
    <w:rsid w:val="67421AB3"/>
    <w:rsid w:val="674F2C34"/>
    <w:rsid w:val="67921C85"/>
    <w:rsid w:val="67A105D0"/>
    <w:rsid w:val="67D14C1C"/>
    <w:rsid w:val="67E53C8C"/>
    <w:rsid w:val="68A439CF"/>
    <w:rsid w:val="68B32F0E"/>
    <w:rsid w:val="6A282B5D"/>
    <w:rsid w:val="6A893829"/>
    <w:rsid w:val="6B566370"/>
    <w:rsid w:val="6BBF57BF"/>
    <w:rsid w:val="6BDD0871"/>
    <w:rsid w:val="6DFD7E2A"/>
    <w:rsid w:val="6E1D4216"/>
    <w:rsid w:val="6E656CE4"/>
    <w:rsid w:val="6EE2762C"/>
    <w:rsid w:val="6F563FF7"/>
    <w:rsid w:val="6FC17085"/>
    <w:rsid w:val="6FDB2D58"/>
    <w:rsid w:val="7116043B"/>
    <w:rsid w:val="73011C04"/>
    <w:rsid w:val="73AB4B6D"/>
    <w:rsid w:val="76DB2C18"/>
    <w:rsid w:val="77012BAA"/>
    <w:rsid w:val="77240AD1"/>
    <w:rsid w:val="77B50195"/>
    <w:rsid w:val="77FB44DB"/>
    <w:rsid w:val="78351175"/>
    <w:rsid w:val="784F295E"/>
    <w:rsid w:val="79582BCA"/>
    <w:rsid w:val="79AE5E4E"/>
    <w:rsid w:val="7A616B9A"/>
    <w:rsid w:val="7B89572E"/>
    <w:rsid w:val="7B9D3BE0"/>
    <w:rsid w:val="7CE97A31"/>
    <w:rsid w:val="7DC8461A"/>
    <w:rsid w:val="7E152483"/>
    <w:rsid w:val="7FE14E5A"/>
    <w:rsid w:val="7FF743A7"/>
    <w:rsid w:val="7FFB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cs="Times New Roman"/>
    </w:rPr>
  </w:style>
  <w:style w:type="paragraph" w:styleId="3">
    <w:name w:val="annotation text"/>
    <w:basedOn w:val="1"/>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2"/>
    <w:unhideWhenUsed/>
    <w:qFormat/>
    <w:uiPriority w:val="99"/>
    <w:pPr>
      <w:snapToGrid w:val="0"/>
      <w:jc w:val="left"/>
    </w:pPr>
    <w:rPr>
      <w:rFonts w:cs="Times New Roman"/>
      <w:sz w:val="18"/>
      <w:szCs w:val="18"/>
    </w:rPr>
  </w:style>
  <w:style w:type="character" w:styleId="10">
    <w:name w:val="Strong"/>
    <w:qFormat/>
    <w:uiPriority w:val="0"/>
    <w:rPr>
      <w:rFonts w:cs="Times New Roman"/>
      <w:b/>
      <w:bCs/>
    </w:rPr>
  </w:style>
  <w:style w:type="character" w:styleId="11">
    <w:name w:val="annotation reference"/>
    <w:basedOn w:val="9"/>
    <w:unhideWhenUsed/>
    <w:qFormat/>
    <w:uiPriority w:val="99"/>
    <w:rPr>
      <w:sz w:val="21"/>
      <w:szCs w:val="21"/>
    </w:rPr>
  </w:style>
  <w:style w:type="character" w:customStyle="1" w:styleId="12">
    <w:name w:val="脚注文本 Char"/>
    <w:basedOn w:val="9"/>
    <w:link w:val="7"/>
    <w:qFormat/>
    <w:uiPriority w:val="99"/>
    <w:rPr>
      <w:rFonts w:ascii="Calibri" w:hAnsi="Calibri" w:eastAsia="宋体" w:cs="Times New Roman"/>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页眉 Char"/>
    <w:basedOn w:val="9"/>
    <w:link w:val="6"/>
    <w:qFormat/>
    <w:uiPriority w:val="99"/>
    <w:rPr>
      <w:rFonts w:ascii="Calibri" w:hAnsi="Calibri" w:eastAsia="宋体" w:cs="黑体"/>
      <w:kern w:val="2"/>
      <w:sz w:val="18"/>
      <w:szCs w:val="18"/>
    </w:rPr>
  </w:style>
  <w:style w:type="character" w:customStyle="1" w:styleId="15">
    <w:name w:val="页脚 Char"/>
    <w:basedOn w:val="9"/>
    <w:link w:val="5"/>
    <w:qFormat/>
    <w:uiPriority w:val="99"/>
    <w:rPr>
      <w:rFonts w:ascii="Calibri" w:hAnsi="Calibri" w:eastAsia="宋体" w:cs="黑体"/>
      <w:kern w:val="2"/>
      <w:sz w:val="18"/>
      <w:szCs w:val="18"/>
    </w:rPr>
  </w:style>
  <w:style w:type="character" w:customStyle="1" w:styleId="16">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9</Pages>
  <Words>551</Words>
  <Characters>3145</Characters>
  <Lines>26</Lines>
  <Paragraphs>7</Paragraphs>
  <TotalTime>5</TotalTime>
  <ScaleCrop>false</ScaleCrop>
  <LinksUpToDate>false</LinksUpToDate>
  <CharactersWithSpaces>3689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2023-03-12T04:38:00Z</dcterms:created>
  <dc:creator>zhangyanping</dc:creator>
  <cp:lastModifiedBy>Administrator</cp:lastModifiedBy>
  <cp:lastPrinted>2019-11-29T11:32:00Z</cp:lastPrinted>
  <dcterms:modified xsi:type="dcterms:W3CDTF">2023-02-10T04:24:38Z</dcterms:modified>
  <dc:title>塔城市阿不都拉乡2021年财政专项扶贫资金绩效自评总结报告</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24BCDAAF10B146FD809FDFE27C77D7D5</vt:lpwstr>
  </property>
</Properties>
</file>