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sz w:val="36"/>
          <w:szCs w:val="36"/>
          <w:lang w:val="en-US" w:eastAsia="zh-CN"/>
        </w:rPr>
      </w:pPr>
      <w:bookmarkStart w:id="0" w:name="OLE_LINK1"/>
      <w:r>
        <w:rPr>
          <w:rFonts w:hint="eastAsia" w:ascii="方正小标宋简体" w:hAnsi="方正小标宋简体" w:eastAsia="方正小标宋简体" w:cs="方正小标宋简体"/>
          <w:b w:val="0"/>
          <w:sz w:val="36"/>
          <w:szCs w:val="36"/>
          <w:lang w:val="en-US" w:eastAsia="zh-CN"/>
        </w:rPr>
        <w:t>2023年自治区安全生产执法检查重点事项指导目录（安全评价检测检验机构）</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1892"/>
        <w:gridCol w:w="3378"/>
        <w:gridCol w:w="4610"/>
        <w:gridCol w:w="2977"/>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1" w:hRule="atLeast"/>
          <w:tblHeader/>
        </w:trPr>
        <w:tc>
          <w:tcPr>
            <w:tcW w:w="51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序号</w:t>
            </w:r>
          </w:p>
        </w:tc>
        <w:tc>
          <w:tcPr>
            <w:tcW w:w="18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执法检查重点事项内容</w:t>
            </w:r>
          </w:p>
        </w:tc>
        <w:tc>
          <w:tcPr>
            <w:tcW w:w="33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执法检查依据</w:t>
            </w:r>
          </w:p>
        </w:tc>
        <w:tc>
          <w:tcPr>
            <w:tcW w:w="46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有关规范性文件及标准要求</w:t>
            </w:r>
          </w:p>
        </w:tc>
        <w:tc>
          <w:tcPr>
            <w:tcW w:w="297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处罚依据</w:t>
            </w:r>
          </w:p>
        </w:tc>
        <w:tc>
          <w:tcPr>
            <w:tcW w:w="615"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w w:val="100"/>
                <w:sz w:val="24"/>
                <w:szCs w:val="24"/>
                <w:u w:val="none"/>
              </w:rPr>
            </w:pPr>
            <w:r>
              <w:rPr>
                <w:rFonts w:hint="eastAsia" w:ascii="宋体" w:hAnsi="宋体" w:eastAsia="宋体" w:cs="宋体"/>
                <w:i w:val="0"/>
                <w:color w:val="000000"/>
                <w:w w:val="100"/>
                <w:kern w:val="0"/>
                <w:sz w:val="24"/>
                <w:szCs w:val="24"/>
                <w:u w:val="none"/>
                <w:lang w:val="en-US" w:eastAsia="zh-CN" w:bidi="ar"/>
              </w:rPr>
              <w:t>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sz w:val="24"/>
                <w:szCs w:val="24"/>
                <w:u w:val="none"/>
              </w:rPr>
            </w:pPr>
            <w:r>
              <w:rPr>
                <w:rFonts w:hint="eastAsia" w:ascii="仿宋_GB2312" w:hAnsi="仿宋_GB2312" w:eastAsia="仿宋_GB2312" w:cs="仿宋_GB2312"/>
                <w:i w:val="0"/>
                <w:color w:val="000000"/>
                <w:w w:val="100"/>
                <w:kern w:val="0"/>
                <w:sz w:val="24"/>
                <w:szCs w:val="24"/>
                <w:u w:val="none"/>
                <w:lang w:val="en-US" w:eastAsia="zh-CN" w:bidi="ar"/>
              </w:rPr>
              <w:t>安全评价检测检验机构资质条件保持：固定资产</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《安全评价检测检验机构管理办法》第三条……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sz w:val="24"/>
                <w:szCs w:val="24"/>
                <w:u w:val="none"/>
              </w:rPr>
            </w:pPr>
            <w:r>
              <w:rPr>
                <w:rFonts w:hint="eastAsia" w:ascii="仿宋_GB2312" w:hAnsi="仿宋_GB2312" w:eastAsia="仿宋_GB2312" w:cs="仿宋_GB2312"/>
                <w:i w:val="0"/>
                <w:color w:val="000000"/>
                <w:w w:val="1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《安全评价检测检验机构管理办法》第六条  申请安全评价机构资质应当具备下列条件：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（一）独立法人资格，固定资产不少于八百万元；</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第七条  申请安全生产检测检验机构资质应当具备下列条件：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（一）独立法人资格，固定资产不少于一千万元；</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（二）不再具备资质条件或者资质过期从事安全评价、检测检验的；</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sz w:val="24"/>
                <w:szCs w:val="24"/>
                <w:u w:val="none"/>
              </w:rPr>
            </w:pPr>
            <w:r>
              <w:rPr>
                <w:rFonts w:hint="eastAsia" w:ascii="仿宋_GB2312" w:hAnsi="仿宋_GB2312" w:eastAsia="仿宋_GB2312" w:cs="仿宋_GB2312"/>
                <w:i w:val="0"/>
                <w:color w:val="000000"/>
                <w:w w:val="1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kern w:val="0"/>
                <w:sz w:val="24"/>
                <w:szCs w:val="24"/>
                <w:u w:val="none"/>
                <w:lang w:val="en-US" w:eastAsia="zh-CN" w:bidi="ar"/>
              </w:rPr>
            </w:pPr>
            <w:r>
              <w:rPr>
                <w:rFonts w:hint="eastAsia" w:ascii="仿宋_GB2312" w:hAnsi="仿宋_GB2312" w:eastAsia="仿宋_GB2312" w:cs="仿宋_GB2312"/>
                <w:i w:val="0"/>
                <w:color w:val="000000"/>
                <w:w w:val="1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w w:val="100"/>
                <w:sz w:val="24"/>
                <w:szCs w:val="24"/>
                <w:u w:val="none"/>
              </w:rPr>
            </w:pPr>
            <w:r>
              <w:rPr>
                <w:rFonts w:hint="eastAsia" w:ascii="仿宋_GB2312" w:hAnsi="仿宋_GB2312" w:eastAsia="仿宋_GB2312" w:cs="仿宋_GB2312"/>
                <w:i w:val="0"/>
                <w:color w:val="000000"/>
                <w:w w:val="1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_GB2312" w:hAnsi="仿宋_GB2312" w:eastAsia="仿宋_GB2312" w:cs="仿宋_GB2312"/>
                <w:i w:val="0"/>
                <w:color w:val="00000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安全评价检测检验机构资质条件保持：办公场所及设施、设备</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《安全评价检测检验机构管理办法》第三条……省级人民政府应急管理部门、煤矿安全生产监督管理部门（以下统称资质认可机关）按照各自的职责，分别负责安全评价检测检验机构资质认可和监督管理工作。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《安全评价检测检验机构管理办法》第六条  申请安全评价机构资质应当具备下列条件：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（二）工作场所建筑面积不少于一千平方米，其中档案室不少于一百平方米，设施、设备、软件等技术支撑条件满足工作需求；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第七条  申请安全生产检测检验机构资质应当具备下列条件：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（二）工作场所建筑面积不少于一千平方米，有与从事安全生产检测检验相适应的设施、设备和环境，检测检验设施、设备原值不少于八百万元；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（二）不再具备资质条件或者资质过期从事安全评价、检测检验的；</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8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安全评价检测检验机构资质条件保持：专职技术人员及注册安全工程师</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《安全评价检测检验机构管理办法》第三条……省级人民政府应急管理部门、煤矿安全生产监督管理部门（以下统称资质认可机关）按照各自的职责，分别负责安全评价检测检验机构资质认可和监督管理工作。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《安全评价检测检验机构管理办法》第六条  申请安全评价机构资质应当具备下列条件：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（三）承担矿山、金属冶炼、危险化学品生产和储存、烟花爆竹等业务范围安全评价的机构，其专职安全评价师不低于本办法规定的配备标准（附件1）；</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第七条  申请安全生产检测检验机构资质应当具备下列条件：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（四）专业技术人员具有与承担安全生产检测检验相适应的专业技能，以及在本行业领域工作两年以上；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（二）不再具备资质条件或者资质过期从事安全评价、检测检验的；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安全评价检测检验机构资质条件保持：专职技术负责人和过程控制负责人（主持工作负责人、技术负责人、质量负责人）</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《安全评价检测检验机构管理办法》第六条  申请安全评价机构资质应当具备下列条件：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第七条  申请安全生产检测检验机构资质应当具备下列条件：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（六）主持安全生产检测检验工作的负责人、技术负责人、质量负责人具有高级技术职称，在本行业领域工作八年以上；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（二）不再具备资质条件或者资质过期从事安全评价、检测检验的；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安全评价检测检验机构资质条件保持：内部管理制度（文件化管理体系）和安全评价过程控制体系</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《安全评价检测检验机构管理办法》第六条  申请安全评价机构资质应当具备下列条件：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（五）健全的内部管理制度和安全评价过程控制体系；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第七条  申请安全生产检测检验资质应当具备下列条件：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（七）符合安全生产检测检验机构能力通用要求等相关标准和规范性文件规定的文件化管理体系；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（二）不再具备资质条件或者资质过期从事安全评价、检测检验的；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安全评价检测检验机构资质条件保持：信息查询网站</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《安全评价检测检验机构管理办法》第六条  申请安全评价机构资质应当具备下列条件：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（八）正常运行并可以供公众查询机构信息的网站；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第七条  申请安全生产检测检验资质</w:t>
            </w:r>
            <w:bookmarkStart w:id="1" w:name="_GoBack"/>
            <w:bookmarkEnd w:id="1"/>
            <w:r>
              <w:rPr>
                <w:rFonts w:hint="eastAsia" w:ascii="仿宋_GB2312" w:hAnsi="仿宋_GB2312" w:eastAsia="仿宋_GB2312" w:cs="仿宋_GB2312"/>
                <w:i w:val="0"/>
                <w:color w:val="000000"/>
                <w:kern w:val="0"/>
                <w:sz w:val="24"/>
                <w:szCs w:val="24"/>
                <w:u w:val="none"/>
                <w:lang w:val="en-US" w:eastAsia="zh-CN" w:bidi="ar"/>
              </w:rPr>
              <w:t>应当具备下列条件：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（八）正常运行并可以供公众查询机构信息的网站；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（二）不再具备资质条件或者资质过期从事安全评价、检测检验的；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安全评价检测检验机构资质条件保持：资质变更</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（五）机构名称、注册地址、实验室条件、法定代表人、专职技术负责人、授权签字人发生变化之日起三十日内未向原资质认可机关提出变更申请的；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安全评价检测检验机构资质条件保持：资质延期</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《安全评价检测检验机构管理办法》第十三条  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《安全评价检测检验机构管理办法》第二十九条  未取得资质的机构及其有关人员擅自从事安全评价、检测检验服务的，责令立即停止违法行为，依照下列规定给予处罚：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（一）机构有违法所得的，没收其违法所得，并处违法所得一倍以上三倍以下的罚款，但最高不得超过三万元；没有违法所得的，处五千元以上一万元以下的罚款；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（二）有关人员处五千元以上一万元以下的罚款。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对有前款违法行为的机构及其人员，由资质认可机关记入有关机构和人员的信用记录，并依照有关规定予以公告。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安全评价检测检验机构从业情况：按规定签订技术服务合同</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《安全评价检测检验机构管理办法》第十六条生产经营单位委托安全评价检测检验机构开展技术服务时，应当签订委托技术服务合同，明确服务对象、范围、权利、义务和责任。 </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（一）未依法与委托方签订技术服务合同的；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安全评价检测检验机构从业情况：建立信息公开制度并落实</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《安全评价检测检验机构管理办法》第十七条 安全评价检测检验机构应当建立信息公开制度……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第十八条 安全评价检测检验机构开展技术服务时，应当如实记录过程控制、现场勘验和检测检验的情况，并与现场图像影像等证明资料一并及时归档。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安全评价检测检验机构应当按照有关规定在网上公开安全评价报告、安全生产检测检验报告相关信息及现场勘验图像影像。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（三）未按规定公开安全评价报告、安全生产检测检验报告相关信息及现场勘验图像影像资料的；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安全评价检测检验机构从业情况：按标准配备项目安全评价检测检验人员</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《安全评价检测检验机构管理办法》第十七条 ……安全评价项目组组长应当具有与业务相关的二级以上安全评价师资格，并在本行业领域工作三年以上。项目组其他组成人员应当符合安全评价项目专职安全评价师专业能力配备标准。</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安全评价检测检验机构从业情况：跨区开展业务从业告知</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第十九条 安全评价检测检验机构应当在开展现场技术服务前七个工作日内，书面告知项目实施地资质认可机关，接受资质认可机关及其下级部门的监督抽查。</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（四）未在开展现场技术服务前七个工作日内，书面告知项目实施地资质认可机关的；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安全评价检测检验机构从业情况：按照核准资质范围评价检测检验</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（二）不再具备资质条件或者资质过期从事安全评价、检测检验的；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（三）超出资质认可业务范围，从事法定的安全评价、检测检验的；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（十）冒用他人名义或者允许他人冒用本人名义在安全评价、检测检验报告和原始记录中签名的；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《安全评价检测检验机构管理办法》第二十九条  未取得资质的机构及其有关人员擅自从事安全评价、检测检验服务的，责令立即停止违法行为，依照下列规定给予处罚：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（一）机构有违法所得的，没收其违法所得，并处违法所得一倍以上三倍以下的罚款，但最高不得超过三万元；没有违法所得的，处五千元以上一万元以下的罚款；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（二）有关人员处五千元以上一万元以下的罚款。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对有前款违法行为的机构及其人员，由资质认可机关记入有关机构和人员的信用记录，并依照有关规定予以公告。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安全评价检测检验机构从业情况:出租或者出借资质、挂靠</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《中华人民共和国安全生产法》第七十二条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承担安全评价、认证、检测、检验职责的机构应当建立并实施服务公开和报告公开制度，不得租借资质、挂靠、出具虚假报告。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Style w:val="6"/>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《中华人民共和国安全生产法》第九十二条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Style w:val="6"/>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Style w:val="6"/>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Style w:val="6"/>
                <w:rFonts w:hint="eastAsia" w:ascii="仿宋_GB2312" w:hAnsi="仿宋_GB2312" w:eastAsia="仿宋_GB2312" w:cs="仿宋_GB2312"/>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Style w:val="6"/>
                <w:rFonts w:hint="eastAsia" w:ascii="仿宋_GB2312" w:hAnsi="仿宋_GB2312" w:eastAsia="仿宋_GB2312" w:cs="仿宋_GB2312"/>
                <w:sz w:val="24"/>
                <w:szCs w:val="24"/>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安全评价检测检验机构从业情况:出具重大疏漏的安全评价、检测检验报告</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（五）出具虚假或者重大疏漏的安全评价、检测检验报告的；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（十）安全评价报告存在法规标准引用错误、关键危险有害因素漏项、重大危险源辨识错误、对策措施建议与存在问题严重不符等重大疏漏，但尚未造成重大损失的；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（十一）安全生产检测检验报告存在法规标准引用错误、关键项目漏检、结论不明确等重大疏漏，但尚未造成重大损失的。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安全评价检测检验机构从业情况:出具虚假安全评价、检测检验报告</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承担安全评价、认证、检测、检验职责的机构应当建立并实施服务公开和报告公开制度，不得租借资质、挂靠、出具虚假报告。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（五）出具虚假或者重大疏漏的安全评价、检测检验报告的；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《中华人民共和国安全生产法》第九十二条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2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安全评价检测检验机构从业情况:出具失实安全评价、检测检验报告</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《中华人民共和国安全生产法》第七十二条　承担安全评价、认证、检测、检验职责的机构应当具备国家规定的资质条件，并对其作出的安全评价、认证、检测、检验结果的合法性、真实性负责。资质条件由国务院应急管理部门会同国务院有关部门制定。</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《中华人民共和国安全生产法》第九十二条　承担安全评价、认证、检测、检验职责的机构出具失实报告的，责令停业整顿，并处三万元以上十万元以下的罚款；给他人造成损害的，依法承担赔偿责任。</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安全评价检测检验机构从业情况:其它从业行为</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第二十二条  安全评价检测检验机构及其从业人员不得有下列行为：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（一）违反法规标准的规定开展安全评价、检测检验的；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（六）违反有关法规标准规定，更改或者简化安全评价、检测检验程序和相关内容的；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（七）专职安全评价师、专业技术人员同时在两个以上安全评价检测检验机构从业的；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（八）安全评价项目组组长及负责勘验人员不到现场实际地点开展勘验等有关工作的；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（九） 承担现场检测检验的人员不到现场实际地点开展设备检测检验等有关工作的；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（二）违反法规标准规定更改或者简化安全评价、检测检验程序和相关内容的；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（八）安全评价项目组组长及负责勘验人员不到现场实际地点开展勘验等有关工作的；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（九）承担现场检测检验的人员不到现场实际地点开展设备检测检验等有关工作的；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bookmarkEnd w:id="0"/>
    </w:tbl>
    <w:p>
      <w:pPr>
        <w:spacing w:line="240" w:lineRule="auto"/>
        <w:rPr>
          <w:rFonts w:hint="eastAsia" w:ascii="仿宋_GB2312" w:hAnsi="仿宋_GB2312" w:eastAsia="仿宋_GB2312" w:cs="仿宋_GB2312"/>
          <w:sz w:val="24"/>
          <w:szCs w:val="24"/>
        </w:rPr>
      </w:pPr>
    </w:p>
    <w:sectPr>
      <w:headerReference r:id="rId3" w:type="default"/>
      <w:footerReference r:id="rId4" w:type="default"/>
      <w:pgSz w:w="16838" w:h="11906" w:orient="landscape"/>
      <w:pgMar w:top="1800" w:right="1440" w:bottom="1800" w:left="1440" w:header="851" w:footer="992" w:gutter="0"/>
      <w:pgNumType w:fmt="numberInDash" w:start="16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213C3802"/>
    <w:rsid w:val="0AB2192E"/>
    <w:rsid w:val="20F72FBB"/>
    <w:rsid w:val="213C3802"/>
    <w:rsid w:val="266B5924"/>
    <w:rsid w:val="39C33BE5"/>
    <w:rsid w:val="46866390"/>
    <w:rsid w:val="54841277"/>
    <w:rsid w:val="5A3C0018"/>
    <w:rsid w:val="64C97A54"/>
    <w:rsid w:val="6A7908CD"/>
    <w:rsid w:val="7B253130"/>
    <w:rsid w:val="7EAE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0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2023-05-29T11:07:00Z</dcterms:created>
  <dc:creator>仙贝</dc:creator>
  <cp:lastModifiedBy>Administrator</cp:lastModifiedBy>
  <cp:lastPrinted>2023-05-31T02:36:00Z</cp:lastPrinted>
  <dcterms:modified xsi:type="dcterms:W3CDTF">2025-09-12T03:48:04Z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08C9695D07554C83AC688F2759C4CE11_12</vt:lpwstr>
  </property>
</Properties>
</file>