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bookmarkStart w:id="0" w:name="OLE_LINK3"/>
      <w:bookmarkStart w:id="1" w:name="OLE_LINK1"/>
      <w:r>
        <w:rPr>
          <w:rFonts w:hint="eastAsia" w:ascii="方正小标宋简体" w:hAnsi="方正小标宋简体" w:eastAsia="方正小标宋简体" w:cs="方正小标宋简体"/>
          <w:b w:val="0"/>
          <w:sz w:val="36"/>
          <w:szCs w:val="36"/>
        </w:rPr>
        <w:t>安全生产监督检查综合</w:t>
      </w:r>
      <w:bookmarkStart w:id="3" w:name="_GoBack"/>
      <w:bookmarkEnd w:id="3"/>
      <w:r>
        <w:rPr>
          <w:rFonts w:hint="eastAsia" w:ascii="方正小标宋简体" w:hAnsi="方正小标宋简体" w:eastAsia="方正小标宋简体" w:cs="方正小标宋简体"/>
          <w:b w:val="0"/>
          <w:sz w:val="36"/>
          <w:szCs w:val="36"/>
        </w:rPr>
        <w:t>事项</w:t>
      </w:r>
      <w:bookmarkStart w:id="2" w:name="OLE_LINK2"/>
      <w:r>
        <w:rPr>
          <w:rFonts w:hint="eastAsia" w:ascii="方正小标宋简体" w:hAnsi="方正小标宋简体" w:eastAsia="方正小标宋简体" w:cs="方正小标宋简体"/>
          <w:b w:val="0"/>
          <w:sz w:val="36"/>
          <w:szCs w:val="36"/>
          <w:lang w:val="en-US" w:eastAsia="zh-CN"/>
        </w:rPr>
        <w:t>执法检查依据</w:t>
      </w:r>
      <w:bookmarkEnd w:id="2"/>
      <w:r>
        <w:rPr>
          <w:rFonts w:hint="eastAsia" w:ascii="方正小标宋简体" w:hAnsi="方正小标宋简体" w:eastAsia="方正小标宋简体" w:cs="方正小标宋简体"/>
          <w:b w:val="0"/>
          <w:sz w:val="36"/>
          <w:szCs w:val="36"/>
          <w:lang w:val="en-US" w:eastAsia="zh-CN"/>
        </w:rPr>
        <w:t>及法律责任指引</w:t>
      </w:r>
    </w:p>
    <w:bookmarkEnd w:id="0"/>
    <w:tbl>
      <w:tblPr>
        <w:tblStyle w:val="6"/>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62"/>
        <w:gridCol w:w="1777"/>
        <w:gridCol w:w="1863"/>
        <w:gridCol w:w="4640"/>
        <w:gridCol w:w="391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tblHeader/>
          <w:jc w:val="center"/>
        </w:trPr>
        <w:tc>
          <w:tcPr>
            <w:tcW w:w="862" w:type="dxa"/>
            <w:vAlign w:val="center"/>
          </w:tcPr>
          <w:p>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序号</w:t>
            </w:r>
          </w:p>
        </w:tc>
        <w:tc>
          <w:tcPr>
            <w:tcW w:w="1777" w:type="dxa"/>
            <w:vAlign w:val="center"/>
          </w:tcPr>
          <w:p>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检查事项</w:t>
            </w:r>
          </w:p>
        </w:tc>
        <w:tc>
          <w:tcPr>
            <w:tcW w:w="1863" w:type="dxa"/>
            <w:vAlign w:val="center"/>
          </w:tcPr>
          <w:p>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检查内容</w:t>
            </w:r>
          </w:p>
        </w:tc>
        <w:tc>
          <w:tcPr>
            <w:tcW w:w="4640" w:type="dxa"/>
            <w:vAlign w:val="center"/>
          </w:tcPr>
          <w:p>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检查依据指引</w:t>
            </w:r>
          </w:p>
        </w:tc>
        <w:tc>
          <w:tcPr>
            <w:tcW w:w="3918" w:type="dxa"/>
            <w:vAlign w:val="center"/>
          </w:tcPr>
          <w:p>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法律责任指引</w:t>
            </w:r>
          </w:p>
        </w:tc>
        <w:tc>
          <w:tcPr>
            <w:tcW w:w="819" w:type="dxa"/>
            <w:vAlign w:val="center"/>
          </w:tcPr>
          <w:p>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955" w:hRule="atLeast"/>
          <w:jc w:val="center"/>
        </w:trPr>
        <w:tc>
          <w:tcPr>
            <w:tcW w:w="862" w:type="dxa"/>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主要负责人履行职责情况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生产经营单位的主要负责人履行对本单位安全生产工作法定职责</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》第二十一条　生产经营单位的主要负责人对本单位安全生产工作负有下列职责:</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（一）建立健全并落实本单位全员安全生产责任制，加强安全生产标准化建设；</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（二）组织制定并实施本单位安全生产规章制度和操作规程；</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（三）组织制定并实施本单位安全生产教育和培训计划；</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（四）保证本单位安全生产投入的有效实施；</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（五）组织建立并落实安全风险分级管控和隐患排查治理双重预防工作机制，督促、检查本单位的安全生产工作，及时消除生产安全事故隐患；</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（六）组织制定并实施本单位的生产安全事故应急救援预案；</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（七）及时、如实报告生产安全事故。</w:t>
            </w:r>
          </w:p>
          <w:p>
            <w:pPr>
              <w:widowControl/>
              <w:adjustRightInd w:val="0"/>
              <w:snapToGrid w:val="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生产经营单位的主要负责人有前款违法行为，导致发生生产安全事故的，给予撤职处分；构成犯罪的，依照刑法有关规定追究刑事责任。</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005" w:hRule="atLeast"/>
          <w:jc w:val="center"/>
        </w:trPr>
        <w:tc>
          <w:tcPr>
            <w:tcW w:w="862" w:type="dxa"/>
            <w:vMerge w:val="restart"/>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2</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安全投入保障情况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2.1 资金投入保障</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有前款违法行为，导致发生生产安全事故的，对生产经营单位的主要负责人给予撤职处分，对个人经营的投资人处二万元以上二十万元以下的罚款；构成犯罪的，依照刑法有关规定追究刑事责任。</w:t>
            </w:r>
          </w:p>
          <w:p>
            <w:pPr>
              <w:widowControl/>
              <w:adjustRightInd w:val="0"/>
              <w:snapToGrid w:val="0"/>
              <w:ind w:firstLine="420" w:firstLineChars="200"/>
              <w:rPr>
                <w:rFonts w:ascii="宋体" w:hAnsi="宋体" w:cs="宋体"/>
                <w:color w:val="auto"/>
                <w:kern w:val="0"/>
                <w:szCs w:val="21"/>
              </w:rPr>
            </w:pPr>
          </w:p>
        </w:tc>
        <w:tc>
          <w:tcPr>
            <w:tcW w:w="819" w:type="dxa"/>
            <w:vMerge w:val="restart"/>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904" w:hRule="atLeast"/>
          <w:jc w:val="center"/>
        </w:trPr>
        <w:tc>
          <w:tcPr>
            <w:tcW w:w="862" w:type="dxa"/>
            <w:vMerge w:val="continue"/>
            <w:vAlign w:val="center"/>
          </w:tcPr>
          <w:p>
            <w:pPr>
              <w:widowControl/>
              <w:adjustRightInd w:val="0"/>
              <w:snapToGrid w:val="0"/>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2.2 安全费用提取和使用</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》第二十</w:t>
            </w:r>
            <w:r>
              <w:rPr>
                <w:rFonts w:hint="eastAsia" w:ascii="宋体" w:hAnsi="宋体" w:cs="宋体"/>
                <w:color w:val="auto"/>
                <w:kern w:val="0"/>
                <w:szCs w:val="21"/>
                <w:lang w:eastAsia="zh-CN"/>
              </w:rPr>
              <w:t>三</w:t>
            </w:r>
            <w:r>
              <w:rPr>
                <w:rFonts w:hint="eastAsia" w:ascii="宋体" w:hAnsi="宋体" w:cs="宋体"/>
                <w:color w:val="auto"/>
                <w:kern w:val="0"/>
                <w:szCs w:val="21"/>
              </w:rPr>
              <w:t>条 ……</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《企业安全生产费用提取和使用管理办法》（财资〔2022〕136号</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（一）提取或者使用安全生产费用；</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62" w:type="dxa"/>
            <w:vMerge w:val="continue"/>
            <w:vAlign w:val="center"/>
          </w:tcPr>
          <w:p>
            <w:pPr>
              <w:widowControl/>
              <w:adjustRightInd w:val="0"/>
              <w:snapToGrid w:val="0"/>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2.3 劳动防护用品配备经费</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》第四十七条　生产经营单位应当安排用于配备劳动防护用品、进行安全生产培训的经费。</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2" w:firstLineChars="200"/>
              <w:rPr>
                <w:rFonts w:hint="eastAsia" w:ascii="宋体" w:hAnsi="宋体" w:cs="宋体"/>
                <w:color w:val="auto"/>
                <w:kern w:val="0"/>
                <w:szCs w:val="21"/>
              </w:rPr>
            </w:pPr>
            <w:r>
              <w:rPr>
                <w:rFonts w:hint="eastAsia" w:ascii="宋体" w:hAnsi="宋体" w:cs="宋体"/>
                <w:b/>
                <w:bCs/>
                <w:color w:val="auto"/>
                <w:kern w:val="0"/>
                <w:szCs w:val="21"/>
              </w:rPr>
              <w:t>（二）用于配备劳动防护用品的经费；</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274" w:hRule="atLeast"/>
          <w:jc w:val="center"/>
        </w:trPr>
        <w:tc>
          <w:tcPr>
            <w:tcW w:w="862" w:type="dxa"/>
            <w:vMerge w:val="continue"/>
            <w:vAlign w:val="center"/>
          </w:tcPr>
          <w:p>
            <w:pPr>
              <w:widowControl/>
              <w:adjustRightInd w:val="0"/>
              <w:snapToGrid w:val="0"/>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2.4 安全生产教育和培训经费</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》第四十</w:t>
            </w:r>
            <w:r>
              <w:rPr>
                <w:rFonts w:hint="eastAsia" w:ascii="宋体" w:hAnsi="宋体" w:cs="宋体"/>
                <w:color w:val="auto"/>
                <w:kern w:val="0"/>
                <w:szCs w:val="21"/>
                <w:lang w:eastAsia="zh-CN"/>
              </w:rPr>
              <w:t>七</w:t>
            </w:r>
            <w:r>
              <w:rPr>
                <w:rFonts w:hint="eastAsia" w:ascii="宋体" w:hAnsi="宋体" w:cs="宋体"/>
                <w:color w:val="auto"/>
                <w:kern w:val="0"/>
                <w:szCs w:val="21"/>
              </w:rPr>
              <w:t>条  生产经营单位应当安排用于配备劳动防护用品、进行安全生产培训的经费。</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2" w:firstLineChars="200"/>
              <w:rPr>
                <w:rFonts w:hint="eastAsia" w:ascii="宋体" w:hAnsi="宋体" w:cs="宋体"/>
                <w:color w:val="auto"/>
                <w:kern w:val="0"/>
                <w:szCs w:val="21"/>
              </w:rPr>
            </w:pPr>
            <w:r>
              <w:rPr>
                <w:rFonts w:hint="eastAsia" w:ascii="宋体" w:hAnsi="宋体" w:cs="宋体"/>
                <w:b/>
                <w:bCs/>
                <w:color w:val="auto"/>
                <w:kern w:val="0"/>
                <w:szCs w:val="21"/>
              </w:rPr>
              <w:t>（三）用于安全生产教育和培训的经费</w:t>
            </w:r>
            <w:r>
              <w:rPr>
                <w:rFonts w:hint="eastAsia" w:ascii="宋体" w:hAnsi="宋体" w:cs="宋体"/>
                <w:b/>
                <w:bCs/>
                <w:color w:val="auto"/>
                <w:kern w:val="0"/>
                <w:szCs w:val="21"/>
                <w:lang w:eastAsia="zh-CN"/>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3</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安全生产管理机构人员设置配备及规章制度制定与执行情况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3.1 高危行业生产经营单位设置机构、配备专职人员；其他生产经营单位设置机构、配备专兼职人员</w:t>
            </w:r>
          </w:p>
        </w:tc>
        <w:tc>
          <w:tcPr>
            <w:tcW w:w="4640" w:type="dxa"/>
            <w:vAlign w:val="center"/>
          </w:tcPr>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第二十四条　矿山、金属冶炼、建筑施工、运输单位和危险物品的生产、经营、储存、装卸单位，应当设置安全生产管理机构或者配备专职安全生产管理人员。</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前款规定以外的其他生产经营单位，从业人员超过一百人的，应当设置安全生产管理机构或者配备专职安全生产管理人员；从业人员在一百人以下的，应当配备专职或者兼职的安全生产管理人员。</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numPr>
                <w:ilvl w:val="0"/>
                <w:numId w:val="1"/>
              </w:numPr>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未按照规定设置安全生产管理机构或者配备安全生产管理人员、注册安全工程师的；</w:t>
            </w:r>
          </w:p>
          <w:p>
            <w:pPr>
              <w:widowControl/>
              <w:numPr>
                <w:ilvl w:val="0"/>
                <w:numId w:val="0"/>
              </w:numPr>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452"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3.2 危险物品生产经营单位建立专门的安全管理制度，采取可靠的安全措施</w:t>
            </w:r>
          </w:p>
        </w:tc>
        <w:tc>
          <w:tcPr>
            <w:tcW w:w="4640" w:type="dxa"/>
            <w:vAlign w:val="center"/>
          </w:tcPr>
          <w:p>
            <w:pPr>
              <w:widowControl/>
              <w:adjustRightInd w:val="0"/>
              <w:snapToGrid w:val="0"/>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》第三十</w:t>
            </w:r>
            <w:r>
              <w:rPr>
                <w:rFonts w:hint="eastAsia" w:ascii="宋体" w:hAnsi="宋体" w:cs="宋体"/>
                <w:color w:val="auto"/>
                <w:kern w:val="0"/>
                <w:szCs w:val="21"/>
                <w:lang w:eastAsia="zh-CN"/>
              </w:rPr>
              <w:t>九</w:t>
            </w:r>
            <w:r>
              <w:rPr>
                <w:rFonts w:hint="eastAsia" w:ascii="宋体" w:hAnsi="宋体" w:cs="宋体"/>
                <w:color w:val="auto"/>
                <w:kern w:val="0"/>
                <w:szCs w:val="21"/>
              </w:rPr>
              <w:t xml:space="preserve">条  </w:t>
            </w:r>
            <w:r>
              <w:rPr>
                <w:rFonts w:hint="eastAsia" w:ascii="宋体" w:hAnsi="宋体" w:cs="宋体"/>
                <w:color w:val="auto"/>
                <w:kern w:val="0"/>
                <w:szCs w:val="21"/>
                <w:lang w:eastAsia="zh-CN"/>
              </w:rPr>
              <w:t>……</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widowControl/>
              <w:adjustRightInd w:val="0"/>
              <w:snapToGrid w:val="0"/>
              <w:ind w:firstLine="420" w:firstLineChars="200"/>
              <w:rPr>
                <w:rFonts w:hint="eastAsia"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（一）生产、经营、运输、储存、使用危险物品或者处置废弃危险物品，未建立专门安全管理制度、未采取可靠的安全措施的；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11"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4</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从业人员安全生产教育和培训情况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4.1 主要负责人和安全管理人员安全生产知识和管理能力及考核</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第二十七条　生产经营单位的主要负责人和安全生产管理人员必须具备与本单位所从事的生产经营活动相应的安全生产知识和管理能力。</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（二）危险物品的生产、经营、储存、装卸单位以及矿山、金属冶炼、建筑施工、运输单位的主要负责人和安全生产管理人员未按照规定经考核合格的；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restart"/>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11"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4.2 从业人员安全生产教育培训</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生产经营单位应当建立安全生产教育和培训档案，如实记录安全生产教育和培训的时间、内容、参加人员以及考核结果等情况。</w:t>
            </w:r>
          </w:p>
        </w:tc>
        <w:tc>
          <w:tcPr>
            <w:tcW w:w="3918" w:type="dxa"/>
            <w:vAlign w:val="center"/>
          </w:tcPr>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（四）未如实记录安全生产教育和培训情况的；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11"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4.3 从业人员“四新”培训</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第二十九条　生产经营单位采用新工艺、新技术、新材料或者使用新设备，必须了解、掌握其安全技术特性，采取有效的安全防护措施，并对从业人员进行专门的安全生产教育和培训。</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360"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4.4 培训时间</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《安全生产培训管理办法》第十一条  生产经营单位从业人员的培训内容和培训时间，应当符合《生产经营单位安全培训规定》和有关标准的规定。</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《安全生产培训管理办法》第三十六条  生产经营单位有下列情形之一的，责令改正，处3万元以下的罚款：</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（一）从业人员安全培训的时间少于《生产经营单位安全培训规定》或者有关标准规定的；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816"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4.5 告知从业人员安全生产事项</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第四十四条　生产经营单位应当教育和督促从业人员严格执行本单位的安全生产规章制度和安全操作规程；并向从业人员如实告知作业场所和工作岗位存在的危险因素、防范措施以及事故应急措施。</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766"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4.6 新招矿山井下、危险物品作业人员实习上岗</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《安全生产培训管理办法》第十三条  ……</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矿山新招的井下作业人员和危险物品生产经营单位新招的危险工艺操作岗位人员，除按照规定进行安全培训外，还应当在有经验的职工带领下实习满2个月后，方可独立上岗作业。</w:t>
            </w:r>
          </w:p>
        </w:tc>
        <w:tc>
          <w:tcPr>
            <w:tcW w:w="3918" w:type="dxa"/>
            <w:vAlign w:val="center"/>
          </w:tcPr>
          <w:p>
            <w:pPr>
              <w:widowControl/>
              <w:adjustRightInd w:val="0"/>
              <w:snapToGrid w:val="0"/>
              <w:ind w:firstLine="420" w:firstLineChars="200"/>
              <w:rPr>
                <w:color w:val="auto"/>
              </w:rPr>
            </w:pPr>
            <w:r>
              <w:rPr>
                <w:rFonts w:hint="eastAsia"/>
                <w:color w:val="auto"/>
              </w:rPr>
              <w:t>《安全生产培训管理办法》第三十六条  生产经营单位有下列情形之一的，责令改正，处</w:t>
            </w:r>
            <w:r>
              <w:rPr>
                <w:rFonts w:hint="eastAsia" w:asciiTheme="minorEastAsia" w:hAnsiTheme="minorEastAsia" w:eastAsiaTheme="minorEastAsia"/>
                <w:color w:val="auto"/>
                <w:highlight w:val="none"/>
              </w:rPr>
              <w:t>3</w:t>
            </w:r>
            <w:r>
              <w:rPr>
                <w:rFonts w:hint="eastAsia"/>
                <w:color w:val="auto"/>
                <w:highlight w:val="none"/>
              </w:rPr>
              <w:t>万</w:t>
            </w:r>
            <w:r>
              <w:rPr>
                <w:rFonts w:hint="eastAsia"/>
                <w:color w:val="auto"/>
              </w:rPr>
              <w:t>元以下的罚款：</w:t>
            </w:r>
          </w:p>
          <w:p>
            <w:pPr>
              <w:widowControl/>
              <w:adjustRightInd w:val="0"/>
              <w:snapToGrid w:val="0"/>
              <w:ind w:firstLine="420" w:firstLineChars="200"/>
              <w:rPr>
                <w:color w:val="auto"/>
              </w:rPr>
            </w:pPr>
            <w:r>
              <w:rPr>
                <w:rFonts w:hint="eastAsia"/>
                <w:color w:val="auto"/>
              </w:rPr>
              <w:t>……</w:t>
            </w:r>
          </w:p>
          <w:p>
            <w:pPr>
              <w:widowControl/>
              <w:numPr>
                <w:ilvl w:val="0"/>
                <w:numId w:val="2"/>
              </w:numPr>
              <w:adjustRightInd w:val="0"/>
              <w:snapToGrid w:val="0"/>
              <w:ind w:firstLine="420" w:firstLineChars="200"/>
              <w:rPr>
                <w:color w:val="auto"/>
              </w:rPr>
            </w:pPr>
            <w:r>
              <w:rPr>
                <w:rFonts w:hint="eastAsia"/>
                <w:color w:val="auto"/>
              </w:rPr>
              <w:t>矿山新招的井下作业人员和危险物品生产经营单位新招的危险工艺操作岗位人员，未经实习期满独立上岗作业的。</w:t>
            </w:r>
          </w:p>
          <w:p>
            <w:pPr>
              <w:pStyle w:val="2"/>
              <w:numPr>
                <w:ilvl w:val="255"/>
                <w:numId w:val="0"/>
              </w:numPr>
              <w:ind w:firstLine="420"/>
              <w:rPr>
                <w:rFonts w:eastAsia="宋体"/>
                <w:color w:val="auto"/>
              </w:rPr>
            </w:pPr>
            <w:r>
              <w:rPr>
                <w:rFonts w:hint="eastAsia" w:ascii="宋体" w:hAnsi="宋体" w:eastAsia="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294"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5</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特种作业人员持证上岗情况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5.1 特种作业人员培训取证</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第三十条　生产经营单位的特种作业人员必须按照国家有关规定经专门的安全作业培训，取得相应资格，方可上岗作业。</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特种作业人员的范围由国务院应急管理部门会同国务院有关部门确定。</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（七）特种作业人员未按照规定经专门的安全作业培训并取得相应资格，上岗作业的。</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5.2 特种作业人员证书真实性</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《特种作业人员安全技术培训考核管理规定》第三十六条  ……</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特种作业人员不得伪造、涂改、转借、转让、冒用特种作业操作证或者使用伪造的特种作业操作证。</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《特种作业人员安全技术培训考核管理规定》第四十一条  特种作业人员伪造、涂改特种作业操作证或者使用伪造的特种作业操作证的，给予警告，并处1000元以上5000元以下的罚款。</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特种作业人员转借、转让、冒用特种作业操作证的，给予警告，并处2000元以上1万元以下的罚款。</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35"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6</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建设项目安全评价及建设项目安全设施“三同时”情况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6.1 高危建设项目安全评价</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》第三十二条　矿山、金属冶炼建设项目和用于生产、储存、装卸危险物品的建设项目，应当按照国家有关规定进行安全评价。</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《建设项目安全设施“三同时”监督管理办法》第七条  下列建设项目在进行可行性研究时，生产经营单位应当按照国家规定，进行安全预评价：</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（一）非煤矿矿山建设项目；</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（二）生产、储存危险化学品（包括使用长输管道输送危险化学品，下同）的建设项目；</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（三）生产、储存烟花爆竹的建设项目；</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（四）金属冶炼建设项目；</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（五）使用危险化学品从事生产并且使用量达到规定数量的化工建设项目（属于危险化学品生产的除外，下同）；</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（六）法律、行政法规和国务院规定的其他建设项目。</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《建设项目安全设施“三同时”监督管理办法》第二十二条  本办法第七条规定的建设项目安全设施竣工或者试运行完成后，生产经营单位应当委托具有相应资质的安全评价机构对安全设施进行验收评价，并编制建设项目安全验收评价报告。</w:t>
            </w:r>
          </w:p>
          <w:p>
            <w:pPr>
              <w:widowControl/>
              <w:adjustRightInd w:val="0"/>
              <w:snapToGrid w:val="0"/>
              <w:ind w:firstLine="420" w:firstLineChars="200"/>
              <w:rPr>
                <w:color w:val="auto"/>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hint="eastAsia"/>
                <w:color w:val="auto"/>
              </w:rPr>
            </w:pPr>
            <w:r>
              <w:rPr>
                <w:rFonts w:hint="eastAsia"/>
                <w:color w:val="auto"/>
              </w:rPr>
              <w:t>《</w:t>
            </w:r>
            <w:r>
              <w:rPr>
                <w:rFonts w:hint="eastAsia"/>
                <w:color w:val="auto"/>
                <w:lang w:eastAsia="zh-CN"/>
              </w:rPr>
              <w:t>中华人民共和国安全生产法</w:t>
            </w:r>
            <w:r>
              <w:rPr>
                <w:rFonts w:hint="eastAsia"/>
                <w:color w:val="auto"/>
              </w:rPr>
              <w:t>》</w:t>
            </w:r>
            <w:r>
              <w:rPr>
                <w:rFonts w:hint="eastAsia"/>
                <w:color w:val="auto"/>
                <w:lang w:val="en-US" w:eastAsia="zh-CN"/>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numPr>
                <w:ilvl w:val="0"/>
                <w:numId w:val="3"/>
              </w:numPr>
              <w:adjustRightInd w:val="0"/>
              <w:snapToGrid w:val="0"/>
              <w:ind w:firstLine="420" w:firstLineChars="200"/>
              <w:rPr>
                <w:rFonts w:hint="eastAsia"/>
                <w:color w:val="auto"/>
                <w:lang w:val="en-US" w:eastAsia="zh-CN"/>
              </w:rPr>
            </w:pPr>
            <w:r>
              <w:rPr>
                <w:rFonts w:hint="eastAsia"/>
                <w:color w:val="auto"/>
                <w:lang w:val="en-US" w:eastAsia="zh-CN"/>
              </w:rPr>
              <w:t>未按照规定对矿山、金属冶炼建设项目或者用于生产、储存、装卸危险物品的建设项目进行安全评价的；</w:t>
            </w:r>
          </w:p>
          <w:p>
            <w:pPr>
              <w:pStyle w:val="2"/>
              <w:numPr>
                <w:ilvl w:val="0"/>
                <w:numId w:val="0"/>
              </w:numPr>
              <w:ind w:firstLine="420" w:firstLineChars="200"/>
              <w:rPr>
                <w:rFonts w:hint="eastAsia" w:eastAsia="仿宋_GB2312"/>
                <w:color w:val="auto"/>
                <w:lang w:val="en-US" w:eastAsia="zh-CN"/>
              </w:rPr>
            </w:pPr>
            <w:r>
              <w:rPr>
                <w:rFonts w:hint="eastAsia" w:ascii="宋体" w:hAnsi="宋体" w:cs="宋体"/>
                <w:color w:val="auto"/>
                <w:kern w:val="0"/>
                <w:szCs w:val="21"/>
              </w:rPr>
              <w:t>……</w:t>
            </w:r>
            <w:r>
              <w:rPr>
                <w:rFonts w:hint="eastAsia"/>
                <w:color w:val="auto"/>
                <w:lang w:val="en-US" w:eastAsia="zh-CN"/>
              </w:rPr>
              <w:t xml:space="preserve"> </w:t>
            </w:r>
          </w:p>
        </w:tc>
        <w:tc>
          <w:tcPr>
            <w:tcW w:w="819" w:type="dxa"/>
            <w:vMerge w:val="restart"/>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848"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6.2 高危建设项目安全设施设计审查</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第三十三条　建设项目安全设施的设计人、设计单位应当对安全设施设计负责。</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矿山、金属冶炼建设项目和用于生产、储存、装卸危险物品的建设项目的安全设施设计应当按照国家有关规定报经有关部门审查，审查部门及其负责审查的人员对审查结果负责。</w:t>
            </w:r>
          </w:p>
          <w:p>
            <w:pPr>
              <w:widowControl/>
              <w:adjustRightInd w:val="0"/>
              <w:snapToGrid w:val="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（二）矿山、金属冶炼建设项目或者用于生产、储存、装卸危险物品的建设项目没有安全设施设计或者安全设施设计未按照规定报经有关部门审查同意的；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825"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6.3 高危建设项目安全设施设计重新审查</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《建设项目安全设施“三同时”监督管理办法》第十五条  已经批准的建设项目及其安全设施设计有下列情形之一的，生产经营单位应当报原批准部门审查同意；未经审查同意的，不得开工建设：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（一）建设项目的规模、生产工艺、原料、设备发生重大变更的；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（二）改变安全设施设计且可能降低安全性能的；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（三）在施工期间重新设计的。</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《建设项目安全设施“三同时”监督管理办法》第二十九条  已经批准的建设项目安全设施设计发生重大变更，生产经营单位未报原批准部门审查同意擅自开工建设的，责令限期改正，可以并处1万元以上3万元以下的罚款。</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35"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6.4 高危建设项目安全设施按照批准的设计施工</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第三十四条　矿山、金属冶炼建设项目和用于生产、储存、装卸危险物品的建设项目的施工单位必须按照批准的安全设施设计施工，并对安全设施的工程质量负责。</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（三）矿山、金属冶炼建设项目或者用于生产、储存、装卸危险物品的建设项目的施工单位未按照批准的安全设施设计施工的；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195" w:hRule="atLeast"/>
          <w:jc w:val="center"/>
        </w:trPr>
        <w:tc>
          <w:tcPr>
            <w:tcW w:w="862" w:type="dxa"/>
            <w:vMerge w:val="restart"/>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6.5 高危建设项目安全设施竣工验收</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》第三十</w:t>
            </w:r>
            <w:r>
              <w:rPr>
                <w:rFonts w:hint="eastAsia" w:ascii="宋体" w:hAnsi="宋体" w:cs="宋体"/>
                <w:color w:val="auto"/>
                <w:kern w:val="0"/>
                <w:szCs w:val="21"/>
                <w:lang w:eastAsia="zh-CN"/>
              </w:rPr>
              <w:t>四</w:t>
            </w:r>
            <w:r>
              <w:rPr>
                <w:rFonts w:hint="eastAsia" w:ascii="宋体" w:hAnsi="宋体" w:cs="宋体"/>
                <w:color w:val="auto"/>
                <w:kern w:val="0"/>
                <w:szCs w:val="21"/>
              </w:rPr>
              <w:t>条：  ……</w:t>
            </w:r>
          </w:p>
          <w:p>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（四）矿山、金属冶炼建设项目或者用于生产、储存、装卸危险物品的建设项目竣工投入生产或者使用前，安全设施未经验收合格的。</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35"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6.6 其他建设项目安全设施“三同时”</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《建设项目安全设施“三同时”监督管理办法》第七条  下列建设项目在进行可行性研究时，生产经营单位应当按照国家规定，进行安全预评价：</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（一）非煤矿矿山建设项目；</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（二）生产、储存危险化学品（包括使用长输管道输送危险化学品，下同）的建设项目；</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（三）生产、储存烟花爆竹的建设项目；</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（四）金属冶炼建设项目；</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（五）使用危险化学品从事生产并且使用量达到规定数量的化工建设项目（属于危险化学品生产的除外，下同）；</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（六）法律、行政法规和国务院规定的其他建设项目。</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《建设项目安全设施“三同时”监督管理办法》第三十条  本办法第七条第（一）项、第（二）项、第（三）项和第（四）项规定以外的建设项目有下列情形之一的，对有关生产经营单位责令限期改正，可以并处5000元以上3万元以下的罚款：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（一）没有安全设施设计的；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（二）安全设施设计未组织审查，并形成书面审查报告的；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（三）施工单位未按照安全设施设计施工的；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（四）投入生产或者使用前，安全设施未经竣工验收合格，并形成书面报告的。</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329" w:hRule="atLeast"/>
          <w:jc w:val="center"/>
        </w:trPr>
        <w:tc>
          <w:tcPr>
            <w:tcW w:w="862" w:type="dxa"/>
            <w:vAlign w:val="center"/>
          </w:tcPr>
          <w:p>
            <w:pPr>
              <w:jc w:val="center"/>
              <w:rPr>
                <w:rFonts w:ascii="宋体" w:hAnsi="宋体" w:cs="宋体"/>
                <w:color w:val="auto"/>
                <w:kern w:val="0"/>
                <w:szCs w:val="21"/>
              </w:rPr>
            </w:pPr>
            <w:r>
              <w:rPr>
                <w:rFonts w:hint="eastAsia" w:ascii="宋体" w:hAnsi="宋体" w:cs="宋体"/>
                <w:color w:val="auto"/>
                <w:kern w:val="0"/>
                <w:szCs w:val="21"/>
              </w:rPr>
              <w:t>7</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安全警示标志情况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在有较大危险因素的场所和有关设施、设备上设置安全警示标志</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第三十五条　生产经营单位应当在有较大危险因素的生产经营场所和有关设施、设备上，设置明显的安全警示标志。</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（一）未在有较大危险因素的生产经营场所和有关设施、设备上设置明显的安全警示标志的；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8</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安全设备情况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8.1 安全设备安装、使用、报废</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第三十六条　安全设备的设计、制造、安装、使用、检测、维修、改造和报废，应当符合国家标准或者行业标准。</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（二）安全设备的安装、使用、检测、改造和报废不符合国家标准或者行业标准的；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restart"/>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95"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8.2 安全设备维护、保养、检测</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》第三十</w:t>
            </w:r>
            <w:r>
              <w:rPr>
                <w:rFonts w:hint="eastAsia" w:ascii="宋体" w:hAnsi="宋体" w:cs="宋体"/>
                <w:color w:val="auto"/>
                <w:kern w:val="0"/>
                <w:szCs w:val="21"/>
                <w:lang w:eastAsia="zh-CN"/>
              </w:rPr>
              <w:t>六</w:t>
            </w:r>
            <w:r>
              <w:rPr>
                <w:rFonts w:hint="eastAsia" w:ascii="宋体" w:hAnsi="宋体" w:cs="宋体"/>
                <w:color w:val="auto"/>
                <w:kern w:val="0"/>
                <w:szCs w:val="21"/>
              </w:rPr>
              <w:t>条  ……</w:t>
            </w:r>
          </w:p>
          <w:p>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生产经营单位必须对安全设备进行经常性维护、保养，并定期检测，保证正常运转。维护、保养、检测应当作好记录，并由有关人员签字。</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（三）未对安全设备进行经常性维护、保养和定期检测的；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23" w:hRule="atLeast"/>
          <w:jc w:val="center"/>
        </w:trPr>
        <w:tc>
          <w:tcPr>
            <w:tcW w:w="862" w:type="dxa"/>
            <w:vAlign w:val="center"/>
          </w:tcPr>
          <w:p>
            <w:pPr>
              <w:jc w:val="center"/>
              <w:rPr>
                <w:rFonts w:ascii="宋体" w:hAnsi="宋体" w:cs="宋体"/>
                <w:color w:val="auto"/>
                <w:kern w:val="0"/>
                <w:szCs w:val="21"/>
              </w:rPr>
            </w:pPr>
            <w:r>
              <w:rPr>
                <w:rFonts w:hint="eastAsia" w:ascii="宋体" w:hAnsi="宋体" w:cs="宋体"/>
                <w:color w:val="auto"/>
                <w:kern w:val="0"/>
                <w:szCs w:val="21"/>
              </w:rPr>
              <w:t>9</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重大危险源安全管理情况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重大危险源登记建档，定期检测、评估、监控，制定应急预案</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第四十条　生产经营单位对重大危险源应当登记建档，进行定期检测、评估、监控，并制定应急预案，告知从业人员和相关人员在紧急情况下应当采取的应急措施。</w:t>
            </w:r>
          </w:p>
          <w:p>
            <w:pPr>
              <w:widowControl/>
              <w:adjustRightInd w:val="0"/>
              <w:snapToGrid w:val="0"/>
              <w:ind w:firstLine="420" w:firstLineChars="200"/>
              <w:rPr>
                <w:rFonts w:hint="eastAsia" w:ascii="宋体" w:hAnsi="宋体" w:cs="宋体"/>
                <w:strike/>
                <w:dstrike w:val="0"/>
                <w:color w:val="auto"/>
                <w:kern w:val="0"/>
                <w:szCs w:val="21"/>
              </w:rPr>
            </w:pPr>
          </w:p>
          <w:p>
            <w:pPr>
              <w:widowControl/>
              <w:adjustRightInd w:val="0"/>
              <w:snapToGrid w:val="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（二）对重大危险源未登记建档，未进行定期检测、评估、监控，未制定应急预案，或者未告知应急措施的；</w:t>
            </w:r>
          </w:p>
          <w:p>
            <w:pPr>
              <w:widowControl/>
              <w:adjustRightInd w:val="0"/>
              <w:snapToGrid w:val="0"/>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605"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10</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事故隐患排查治理情况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10.1 建立健全生产安全事故隐患排查治理制度</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第四十一条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widowControl/>
              <w:adjustRightInd w:val="0"/>
              <w:snapToGrid w:val="0"/>
              <w:rPr>
                <w:rFonts w:ascii="宋体" w:hAnsi="宋体" w:cs="宋体"/>
                <w:color w:val="auto"/>
                <w:kern w:val="0"/>
                <w:szCs w:val="21"/>
              </w:rPr>
            </w:pPr>
            <w:r>
              <w:rPr>
                <w:rFonts w:hint="eastAsia" w:ascii="宋体" w:hAnsi="宋体" w:cs="宋体"/>
                <w:color w:val="auto"/>
                <w:kern w:val="0"/>
                <w:szCs w:val="21"/>
              </w:rPr>
              <w:t xml:space="preserve">    ……</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（五）未建立事故隐患排查治理制度，或者重大事故隐患排查治理情况未按照规定报告的。</w:t>
            </w:r>
          </w:p>
          <w:p>
            <w:pPr>
              <w:widowControl/>
              <w:adjustRightInd w:val="0"/>
              <w:snapToGrid w:val="0"/>
              <w:ind w:firstLine="420" w:firstLineChars="200"/>
              <w:rPr>
                <w:rFonts w:ascii="宋体" w:hAnsi="宋体" w:cs="宋体"/>
                <w:color w:val="auto"/>
                <w:kern w:val="0"/>
                <w:szCs w:val="21"/>
              </w:rPr>
            </w:pPr>
          </w:p>
        </w:tc>
        <w:tc>
          <w:tcPr>
            <w:tcW w:w="819" w:type="dxa"/>
            <w:vMerge w:val="restart"/>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878"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10.2 采取措施消除事故隐患</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第四十一条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widowControl/>
              <w:adjustRightInd w:val="0"/>
              <w:snapToGrid w:val="0"/>
              <w:ind w:firstLine="420" w:firstLineChars="200"/>
              <w:rPr>
                <w:rFonts w:ascii="宋体" w:hAnsi="宋体" w:cs="宋体"/>
                <w:color w:val="auto"/>
                <w:kern w:val="0"/>
                <w:szCs w:val="21"/>
              </w:rPr>
            </w:pP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22"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10.3 如实记录事故隐患排查治理情况并向从业人员通报</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第四十一条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（五）未将事故隐患排查治理情况如实记录或者未向从业人员通报的；</w:t>
            </w:r>
          </w:p>
          <w:p>
            <w:pPr>
              <w:widowControl/>
              <w:adjustRightInd w:val="0"/>
              <w:snapToGrid w:val="0"/>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38"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10.4 重大事故隐患报告</w:t>
            </w:r>
          </w:p>
        </w:tc>
        <w:tc>
          <w:tcPr>
            <w:tcW w:w="4640" w:type="dxa"/>
            <w:vAlign w:val="center"/>
          </w:tcPr>
          <w:p>
            <w:pPr>
              <w:widowControl/>
              <w:adjustRightInd w:val="0"/>
              <w:snapToGrid w:val="0"/>
              <w:ind w:firstLine="420" w:firstLineChars="200"/>
              <w:rPr>
                <w:rFonts w:hint="eastAsia"/>
                <w:color w:val="auto"/>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中华人民共和国安全生产法</w:t>
            </w:r>
            <w:r>
              <w:rPr>
                <w:rFonts w:hint="eastAsia" w:ascii="宋体" w:hAnsi="宋体" w:cs="宋体"/>
                <w:color w:val="auto"/>
                <w:kern w:val="0"/>
                <w:szCs w:val="21"/>
                <w:lang w:eastAsia="zh-CN"/>
              </w:rPr>
              <w:t>》</w:t>
            </w:r>
            <w:r>
              <w:rPr>
                <w:rFonts w:hint="eastAsia"/>
                <w:color w:val="auto"/>
              </w:rPr>
              <w:t>第四十一条　生产经营单位应当建立安全风险分级管控制度，按照安全风险分级采取相应的管控措施。</w:t>
            </w:r>
          </w:p>
          <w:p>
            <w:pPr>
              <w:widowControl/>
              <w:adjustRightInd w:val="0"/>
              <w:snapToGrid w:val="0"/>
              <w:ind w:firstLine="420" w:firstLineChars="200"/>
              <w:rPr>
                <w:color w:val="auto"/>
              </w:rPr>
            </w:pPr>
            <w:r>
              <w:rPr>
                <w:rFonts w:hint="eastAsia"/>
                <w:color w:val="auto"/>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中华人民共和国安全生产法</w:t>
            </w:r>
            <w:r>
              <w:rPr>
                <w:rFonts w:hint="eastAsia" w:ascii="宋体" w:hAnsi="宋体" w:cs="宋体"/>
                <w:color w:val="auto"/>
                <w:kern w:val="0"/>
                <w:szCs w:val="21"/>
                <w:lang w:eastAsia="zh-CN"/>
              </w:rPr>
              <w:t>》</w:t>
            </w:r>
            <w:r>
              <w:rPr>
                <w:rFonts w:hint="eastAsia" w:ascii="宋体" w:hAnsi="宋体" w:cs="宋体"/>
                <w:color w:val="auto"/>
                <w:kern w:val="0"/>
                <w:szCs w:val="21"/>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（五）重大事故隐患排查治理情况未按照规定报告的。</w:t>
            </w:r>
          </w:p>
          <w:p>
            <w:pPr>
              <w:widowControl/>
              <w:adjustRightInd w:val="0"/>
              <w:snapToGrid w:val="0"/>
              <w:ind w:firstLine="420" w:firstLineChars="200"/>
              <w:rPr>
                <w:rFonts w:ascii="宋体" w:hAnsi="宋体" w:cs="宋体"/>
                <w:color w:val="auto"/>
                <w:kern w:val="0"/>
                <w:szCs w:val="21"/>
              </w:rPr>
            </w:pP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285" w:hRule="atLeast"/>
          <w:jc w:val="center"/>
        </w:trPr>
        <w:tc>
          <w:tcPr>
            <w:tcW w:w="862" w:type="dxa"/>
            <w:vMerge w:val="continue"/>
            <w:vAlign w:val="center"/>
          </w:tcPr>
          <w:p>
            <w:pP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10.5 重大事故隐患整改</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《安全生产事故隐患排查治理暂行规定》第十八条  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《安全生产事故隐患排查治理暂行规定》第二十六条  生产经营单位违反本规定，有下列行为之一的，由安全监管监察部门给予警告，并处三万元以下的罚款：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（六）整改不合格或者未经安全监管监察部门审查同意擅自恢复生产经营的。</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47"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11</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危险场所与员工宿舍安全距离及安全出口管理情况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11.1 危险物品场所与员工宿舍不在同一建筑物且保持安全距离</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第四十二条　生产、经营、储存、使用危险物品的车间、商店、仓库不得与员工宿舍在同一座建筑物内，并应当与员工宿舍保持安全距离。</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widowControl/>
              <w:numPr>
                <w:ilvl w:val="0"/>
                <w:numId w:val="4"/>
              </w:numPr>
              <w:adjustRightInd w:val="0"/>
              <w:snapToGrid w:val="0"/>
              <w:ind w:firstLine="420" w:firstLineChars="200"/>
              <w:rPr>
                <w:rFonts w:ascii="宋体" w:hAnsi="宋体" w:cs="宋体"/>
                <w:color w:val="auto"/>
                <w:kern w:val="0"/>
                <w:szCs w:val="21"/>
                <w:lang w:val="en-US" w:eastAsia="zh-CN"/>
              </w:rPr>
            </w:pPr>
            <w:r>
              <w:rPr>
                <w:rFonts w:ascii="宋体" w:hAnsi="宋体" w:cs="宋体"/>
                <w:color w:val="auto"/>
                <w:kern w:val="0"/>
                <w:szCs w:val="21"/>
                <w:lang w:val="en-US" w:eastAsia="zh-CN"/>
              </w:rPr>
              <w:t>生产、经营、储存、使用危险物品的车间、商店、仓库与员工宿舍在同一座建筑内，或者与员工宿舍的距离不符合安全要求的；</w:t>
            </w:r>
          </w:p>
          <w:p>
            <w:pPr>
              <w:widowControl/>
              <w:numPr>
                <w:ilvl w:val="0"/>
                <w:numId w:val="0"/>
              </w:numPr>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w:t>
            </w:r>
          </w:p>
        </w:tc>
        <w:tc>
          <w:tcPr>
            <w:tcW w:w="819" w:type="dxa"/>
            <w:vMerge w:val="restart"/>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47"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11.2 生产经营场所和员工宿舍安全出口符合疏散要求，禁止锁闭、封堵</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w:t>
            </w:r>
            <w:r>
              <w:rPr>
                <w:rFonts w:hint="eastAsia" w:ascii="宋体" w:hAnsi="宋体" w:cs="宋体"/>
                <w:color w:val="auto"/>
                <w:kern w:val="0"/>
                <w:szCs w:val="21"/>
                <w:lang w:eastAsia="zh-CN"/>
              </w:rPr>
              <w:t>四十二</w:t>
            </w:r>
            <w:r>
              <w:rPr>
                <w:rFonts w:hint="eastAsia" w:ascii="宋体" w:hAnsi="宋体" w:cs="宋体"/>
                <w:color w:val="auto"/>
                <w:kern w:val="0"/>
                <w:szCs w:val="21"/>
              </w:rPr>
              <w:t>条  ……</w:t>
            </w:r>
          </w:p>
          <w:p>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生产经营场所和员工宿舍应当设有符合紧急疏散要求、标志明显、保持畅通的出口、疏散通道。禁止占用、锁闭、封堵生产经营场所或者员工宿舍的出口、疏散通道。</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（二）生产经营场所和员工宿舍未设有符合紧急疏散需要、标志明显、保持畅通的出口、疏散通道，或者占用、锁闭、封堵生产经营场所或者员工宿舍出口、疏散通道的。</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195" w:hRule="atLeast"/>
          <w:jc w:val="center"/>
        </w:trPr>
        <w:tc>
          <w:tcPr>
            <w:tcW w:w="862" w:type="dxa"/>
            <w:vAlign w:val="center"/>
          </w:tcPr>
          <w:p>
            <w:pPr>
              <w:jc w:val="center"/>
              <w:rPr>
                <w:rFonts w:ascii="宋体" w:hAnsi="宋体" w:cs="宋体"/>
                <w:color w:val="auto"/>
                <w:kern w:val="0"/>
                <w:szCs w:val="21"/>
              </w:rPr>
            </w:pPr>
            <w:r>
              <w:rPr>
                <w:rFonts w:hint="eastAsia" w:ascii="宋体" w:hAnsi="宋体" w:cs="宋体"/>
                <w:color w:val="auto"/>
                <w:kern w:val="0"/>
                <w:szCs w:val="21"/>
              </w:rPr>
              <w:t>12</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危险作业安全管理情况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爆破、吊装以及国务院有关部门规定的其他危险作业安全管理</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（三）进行爆破、吊装、动火、临时用电以及国务院应急管理部门会同国务院有关部门规定的其他危险作业，未安排专门人员进行现场安全管理的；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21" w:hRule="atLeast"/>
          <w:jc w:val="center"/>
        </w:trPr>
        <w:tc>
          <w:tcPr>
            <w:tcW w:w="862" w:type="dxa"/>
            <w:vAlign w:val="center"/>
          </w:tcPr>
          <w:p>
            <w:pPr>
              <w:jc w:val="center"/>
              <w:rPr>
                <w:rFonts w:ascii="宋体" w:hAnsi="宋体" w:cs="宋体"/>
                <w:color w:val="auto"/>
                <w:kern w:val="0"/>
                <w:szCs w:val="21"/>
              </w:rPr>
            </w:pPr>
            <w:r>
              <w:rPr>
                <w:rFonts w:hint="eastAsia" w:ascii="宋体" w:hAnsi="宋体" w:cs="宋体"/>
                <w:color w:val="auto"/>
                <w:kern w:val="0"/>
                <w:szCs w:val="21"/>
              </w:rPr>
              <w:t>13</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劳动防护用品管理情况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提供符合国家标准、行业标准的劳动防护用品</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第四十五条　生产经营单位必须为从业人员提供符合国家标准或者行业标准的劳动防护用品，并监督、教育从业人员按照使用规则佩戴、使用。</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w:t>
            </w:r>
          </w:p>
          <w:p>
            <w:pPr>
              <w:widowControl/>
              <w:numPr>
                <w:ilvl w:val="0"/>
                <w:numId w:val="5"/>
              </w:numPr>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未为从业人员提供符合国家标准或者行业标准的劳动防护用品的；</w:t>
            </w:r>
          </w:p>
          <w:p>
            <w:pPr>
              <w:widowControl/>
              <w:numPr>
                <w:ilvl w:val="0"/>
                <w:numId w:val="0"/>
              </w:numPr>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660"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14</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生产经营项目、场所、设备发包、出租管理情况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14.1 出租给具备条件或者资质的单位或者个人</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第四十九条　生产经营单位不得将生产经营项目、场所、设备发包或者出租给不具备安全生产条件或者相应资质的单位或者个人。</w:t>
            </w:r>
          </w:p>
          <w:p>
            <w:pPr>
              <w:widowControl/>
              <w:adjustRightInd w:val="0"/>
              <w:snapToGrid w:val="0"/>
              <w:rPr>
                <w:rFonts w:ascii="宋体" w:hAnsi="宋体" w:cs="宋体"/>
                <w:color w:val="auto"/>
                <w:kern w:val="0"/>
                <w:szCs w:val="21"/>
              </w:rPr>
            </w:pPr>
            <w:r>
              <w:rPr>
                <w:rFonts w:hint="eastAsia" w:ascii="宋体" w:hAnsi="宋体" w:cs="宋体"/>
                <w:color w:val="auto"/>
                <w:kern w:val="0"/>
                <w:szCs w:val="21"/>
              </w:rPr>
              <w:t xml:space="preserve">    ……</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highlight w:val="none"/>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27" w:hRule="atLeast"/>
          <w:jc w:val="center"/>
        </w:trPr>
        <w:tc>
          <w:tcPr>
            <w:tcW w:w="862" w:type="dxa"/>
            <w:vMerge w:val="continue"/>
            <w:tcBorders>
              <w:bottom w:val="single" w:color="auto" w:sz="4" w:space="0"/>
            </w:tcBorders>
            <w:vAlign w:val="center"/>
          </w:tcPr>
          <w:p>
            <w:pPr>
              <w:jc w:val="center"/>
              <w:rPr>
                <w:rFonts w:ascii="宋体" w:hAnsi="宋体" w:cs="宋体"/>
                <w:color w:val="auto"/>
                <w:kern w:val="0"/>
                <w:szCs w:val="21"/>
              </w:rPr>
            </w:pPr>
          </w:p>
        </w:tc>
        <w:tc>
          <w:tcPr>
            <w:tcW w:w="1777" w:type="dxa"/>
            <w:vMerge w:val="continue"/>
            <w:tcBorders>
              <w:bottom w:val="single" w:color="auto" w:sz="4" w:space="0"/>
            </w:tcBorders>
            <w:vAlign w:val="center"/>
          </w:tcPr>
          <w:p>
            <w:pPr>
              <w:widowControl/>
              <w:adjustRightInd w:val="0"/>
              <w:snapToGrid w:val="0"/>
              <w:rPr>
                <w:rFonts w:ascii="宋体" w:hAnsi="宋体" w:cs="宋体"/>
                <w:color w:val="auto"/>
                <w:kern w:val="0"/>
                <w:szCs w:val="21"/>
              </w:rPr>
            </w:pPr>
          </w:p>
        </w:tc>
        <w:tc>
          <w:tcPr>
            <w:tcW w:w="1863" w:type="dxa"/>
            <w:tcBorders>
              <w:bottom w:val="single" w:color="auto" w:sz="4" w:space="0"/>
            </w:tcBorders>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14.2 安全管理协议和发包方统一协调管理</w:t>
            </w:r>
          </w:p>
        </w:tc>
        <w:tc>
          <w:tcPr>
            <w:tcW w:w="4640" w:type="dxa"/>
            <w:tcBorders>
              <w:bottom w:val="single" w:color="auto" w:sz="4" w:space="0"/>
            </w:tcBorders>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》第四十</w:t>
            </w:r>
            <w:r>
              <w:rPr>
                <w:rFonts w:hint="eastAsia" w:ascii="宋体" w:hAnsi="宋体" w:cs="宋体"/>
                <w:color w:val="auto"/>
                <w:kern w:val="0"/>
                <w:szCs w:val="21"/>
                <w:lang w:eastAsia="zh-CN"/>
              </w:rPr>
              <w:t>九</w:t>
            </w:r>
            <w:r>
              <w:rPr>
                <w:rFonts w:hint="eastAsia" w:ascii="宋体" w:hAnsi="宋体" w:cs="宋体"/>
                <w:color w:val="auto"/>
                <w:kern w:val="0"/>
                <w:szCs w:val="21"/>
              </w:rPr>
              <w:t>条  ……</w:t>
            </w:r>
          </w:p>
          <w:p>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widowControl/>
              <w:adjustRightInd w:val="0"/>
              <w:snapToGrid w:val="0"/>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p>
        </w:tc>
        <w:tc>
          <w:tcPr>
            <w:tcW w:w="3918" w:type="dxa"/>
            <w:tcBorders>
              <w:bottom w:val="single" w:color="auto" w:sz="4" w:space="0"/>
            </w:tcBorders>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》第一百</w:t>
            </w:r>
            <w:r>
              <w:rPr>
                <w:rFonts w:hint="eastAsia" w:ascii="宋体" w:hAnsi="宋体" w:cs="宋体"/>
                <w:color w:val="auto"/>
                <w:kern w:val="0"/>
                <w:szCs w:val="21"/>
                <w:lang w:eastAsia="zh-CN"/>
              </w:rPr>
              <w:t>零三</w:t>
            </w:r>
            <w:r>
              <w:rPr>
                <w:rFonts w:hint="eastAsia" w:ascii="宋体" w:hAnsi="宋体" w:cs="宋体"/>
                <w:color w:val="auto"/>
                <w:kern w:val="0"/>
                <w:szCs w:val="21"/>
              </w:rPr>
              <w:t>条  ……</w:t>
            </w:r>
          </w:p>
          <w:p>
            <w:pPr>
              <w:widowControl/>
              <w:adjustRightInd w:val="0"/>
              <w:snapToGrid w:val="0"/>
              <w:ind w:firstLine="420" w:firstLineChars="200"/>
              <w:rPr>
                <w:rFonts w:ascii="宋体" w:hAnsi="宋体" w:cs="宋体"/>
                <w:color w:val="auto"/>
                <w:kern w:val="0"/>
                <w:szCs w:val="21"/>
                <w:lang w:val="en-US" w:eastAsia="zh-CN"/>
              </w:rPr>
            </w:pPr>
            <w:r>
              <w:rPr>
                <w:rFonts w:ascii="宋体" w:hAnsi="宋体" w:cs="宋体"/>
                <w:color w:val="auto"/>
                <w:kern w:val="0"/>
                <w:szCs w:val="21"/>
                <w:lang w:val="en-US" w:eastAsia="zh-CN"/>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w:t>
            </w:r>
          </w:p>
        </w:tc>
        <w:tc>
          <w:tcPr>
            <w:tcW w:w="819" w:type="dxa"/>
            <w:tcBorders>
              <w:bottom w:val="single" w:color="auto" w:sz="4" w:space="0"/>
            </w:tcBorders>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62" w:type="dxa"/>
            <w:vAlign w:val="center"/>
          </w:tcPr>
          <w:p>
            <w:pPr>
              <w:widowControl/>
              <w:adjustRightInd w:val="0"/>
              <w:snapToGrid w:val="0"/>
              <w:spacing w:line="32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p>
        </w:tc>
        <w:tc>
          <w:tcPr>
            <w:tcW w:w="1777" w:type="dxa"/>
            <w:vAlign w:val="center"/>
          </w:tcPr>
          <w:p>
            <w:pPr>
              <w:widowControl/>
              <w:adjustRightInd w:val="0"/>
              <w:snapToGrid w:val="0"/>
              <w:spacing w:line="320" w:lineRule="exact"/>
              <w:rPr>
                <w:rFonts w:ascii="宋体" w:hAnsi="宋体" w:cs="宋体"/>
                <w:color w:val="auto"/>
                <w:kern w:val="0"/>
                <w:szCs w:val="21"/>
              </w:rPr>
            </w:pPr>
            <w:r>
              <w:rPr>
                <w:rFonts w:hint="eastAsia" w:ascii="宋体" w:hAnsi="宋体" w:cs="宋体"/>
                <w:color w:val="auto"/>
                <w:kern w:val="0"/>
                <w:szCs w:val="21"/>
              </w:rPr>
              <w:t>应急预案的制定及实施情况</w:t>
            </w:r>
          </w:p>
        </w:tc>
        <w:tc>
          <w:tcPr>
            <w:tcW w:w="1863" w:type="dxa"/>
            <w:vAlign w:val="center"/>
          </w:tcPr>
          <w:p>
            <w:pPr>
              <w:widowControl/>
              <w:adjustRightInd w:val="0"/>
              <w:snapToGrid w:val="0"/>
              <w:spacing w:line="320" w:lineRule="exact"/>
              <w:rPr>
                <w:rFonts w:ascii="宋体" w:hAnsi="宋体" w:cs="宋体"/>
                <w:color w:val="auto"/>
                <w:kern w:val="0"/>
                <w:szCs w:val="21"/>
              </w:rPr>
            </w:pPr>
            <w:r>
              <w:rPr>
                <w:rFonts w:hint="eastAsia" w:ascii="宋体" w:hAnsi="宋体" w:cs="宋体"/>
                <w:color w:val="auto"/>
                <w:kern w:val="0"/>
                <w:szCs w:val="21"/>
              </w:rPr>
              <w:t>主要负责人组织制定并实施本单位事故应急救援预案</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w:t>
            </w:r>
            <w:r>
              <w:rPr>
                <w:rFonts w:hint="eastAsia" w:ascii="宋体" w:hAnsi="宋体" w:cs="宋体"/>
                <w:color w:val="auto"/>
                <w:kern w:val="0"/>
                <w:szCs w:val="21"/>
                <w:lang w:eastAsia="zh-CN"/>
              </w:rPr>
              <w:t>二十一</w:t>
            </w:r>
            <w:r>
              <w:rPr>
                <w:rFonts w:hint="eastAsia" w:ascii="宋体" w:hAnsi="宋体" w:cs="宋体"/>
                <w:color w:val="auto"/>
                <w:kern w:val="0"/>
                <w:szCs w:val="21"/>
              </w:rPr>
              <w:t>条  生产经营单位的主要负责人对本单位安全生产工作负有下列职责：</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（六）组织制定并实施本单位的生产安全事故应急救援预案；</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生产经营单位的主要负责人有前款违法行为，导致发生生产安全事故的，给予撤职处分；构成犯罪的，依照刑法有关规定追究刑事责任。</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819" w:type="dxa"/>
            <w:vAlign w:val="center"/>
          </w:tcPr>
          <w:p>
            <w:pPr>
              <w:widowControl/>
              <w:adjustRightInd w:val="0"/>
              <w:snapToGrid w:val="0"/>
              <w:spacing w:line="320" w:lineRule="exact"/>
              <w:rPr>
                <w:rFonts w:ascii="宋体" w:hAnsi="宋体" w:cs="宋体"/>
                <w:color w:val="auto"/>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01" w:hRule="atLeast"/>
          <w:jc w:val="center"/>
        </w:trPr>
        <w:tc>
          <w:tcPr>
            <w:tcW w:w="862"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6</w:t>
            </w:r>
          </w:p>
        </w:tc>
        <w:tc>
          <w:tcPr>
            <w:tcW w:w="1777" w:type="dxa"/>
            <w:vAlign w:val="center"/>
          </w:tcPr>
          <w:p>
            <w:pPr>
              <w:widowControl/>
              <w:adjustRightInd w:val="0"/>
              <w:snapToGrid w:val="0"/>
              <w:spacing w:line="300" w:lineRule="exact"/>
              <w:rPr>
                <w:rFonts w:ascii="宋体" w:hAnsi="宋体" w:cs="宋体"/>
                <w:color w:val="auto"/>
                <w:kern w:val="0"/>
                <w:szCs w:val="21"/>
              </w:rPr>
            </w:pPr>
            <w:r>
              <w:rPr>
                <w:rFonts w:hint="eastAsia" w:ascii="宋体" w:hAnsi="宋体" w:cs="宋体"/>
                <w:color w:val="auto"/>
                <w:kern w:val="0"/>
                <w:szCs w:val="21"/>
              </w:rPr>
              <w:t>应急预案制定演练情况</w:t>
            </w:r>
          </w:p>
        </w:tc>
        <w:tc>
          <w:tcPr>
            <w:tcW w:w="1863" w:type="dxa"/>
            <w:vAlign w:val="center"/>
          </w:tcPr>
          <w:p>
            <w:pPr>
              <w:widowControl/>
              <w:adjustRightInd w:val="0"/>
              <w:snapToGrid w:val="0"/>
              <w:spacing w:line="300" w:lineRule="exact"/>
              <w:rPr>
                <w:rFonts w:ascii="宋体" w:hAnsi="宋体" w:cs="宋体"/>
                <w:color w:val="auto"/>
                <w:kern w:val="0"/>
                <w:szCs w:val="21"/>
              </w:rPr>
            </w:pPr>
            <w:r>
              <w:rPr>
                <w:rFonts w:hint="eastAsia" w:ascii="宋体" w:hAnsi="宋体" w:cs="宋体"/>
                <w:color w:val="auto"/>
                <w:kern w:val="0"/>
                <w:szCs w:val="21"/>
              </w:rPr>
              <w:t>制定本单位事故应急救援预案，与地方人民政府事故应急救援预案相衔接，并定期组织演练</w:t>
            </w:r>
          </w:p>
        </w:tc>
        <w:tc>
          <w:tcPr>
            <w:tcW w:w="4640" w:type="dxa"/>
            <w:vAlign w:val="center"/>
          </w:tcPr>
          <w:p>
            <w:pPr>
              <w:widowControl/>
              <w:adjustRightInd w:val="0"/>
              <w:snapToGrid w:val="0"/>
              <w:spacing w:line="300" w:lineRule="exact"/>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》第八十一条　生产经营单位应当制定本单位生产安全事故应急救援预案，与所在地县级以上地方人民政府组织制定的生产安全事故应急救援预案相衔接，并定期组织演练。</w:t>
            </w:r>
          </w:p>
          <w:p>
            <w:pPr>
              <w:widowControl/>
              <w:adjustRightInd w:val="0"/>
              <w:snapToGrid w:val="0"/>
              <w:spacing w:line="300" w:lineRule="exact"/>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color w:val="auto"/>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color w:val="auto"/>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adjustRightInd w:val="0"/>
              <w:snapToGrid w:val="0"/>
              <w:ind w:firstLine="420" w:firstLineChars="200"/>
              <w:rPr>
                <w:rFonts w:hint="eastAsia"/>
                <w:color w:val="auto"/>
                <w:lang w:val="en-US" w:eastAsia="zh-CN"/>
              </w:rPr>
            </w:pPr>
            <w:r>
              <w:rPr>
                <w:rFonts w:hint="eastAsia"/>
                <w:color w:val="auto"/>
                <w:lang w:val="en-US" w:eastAsia="zh-CN"/>
              </w:rPr>
              <w:t>……</w:t>
            </w:r>
          </w:p>
          <w:p>
            <w:pPr>
              <w:widowControl/>
              <w:adjustRightInd w:val="0"/>
              <w:snapToGrid w:val="0"/>
              <w:ind w:firstLine="420" w:firstLineChars="200"/>
              <w:rPr>
                <w:color w:val="auto"/>
              </w:rPr>
            </w:pPr>
            <w:r>
              <w:rPr>
                <w:rFonts w:hint="eastAsia"/>
                <w:color w:val="auto"/>
                <w:lang w:val="en-US" w:eastAsia="zh-CN"/>
              </w:rPr>
              <w:t>（六）未按照规定制定生产安全事故应急救援预案或者未定期组织演练的；</w:t>
            </w:r>
          </w:p>
          <w:p>
            <w:pPr>
              <w:pStyle w:val="2"/>
              <w:ind w:left="0" w:leftChars="0" w:firstLine="0" w:firstLineChars="0"/>
              <w:rPr>
                <w:rFonts w:eastAsia="宋体"/>
                <w:color w:val="auto"/>
              </w:rPr>
            </w:pP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62"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7</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编制应急预案前风险评估和应急资源调查情况</w:t>
            </w:r>
          </w:p>
        </w:tc>
        <w:tc>
          <w:tcPr>
            <w:tcW w:w="1863" w:type="dxa"/>
            <w:vAlign w:val="center"/>
          </w:tcPr>
          <w:p>
            <w:pPr>
              <w:widowControl/>
              <w:adjustRightInd w:val="0"/>
              <w:snapToGrid w:val="0"/>
              <w:rPr>
                <w:rFonts w:ascii="宋体" w:hAnsi="宋体"/>
                <w:bCs/>
                <w:color w:val="auto"/>
                <w:szCs w:val="21"/>
              </w:rPr>
            </w:pPr>
            <w:r>
              <w:rPr>
                <w:rFonts w:hint="eastAsia" w:ascii="宋体" w:hAnsi="宋体" w:cs="宋体"/>
                <w:color w:val="auto"/>
                <w:kern w:val="0"/>
                <w:szCs w:val="21"/>
              </w:rPr>
              <w:t>编制应急预案前进行事故风险评估和应急资源调查</w:t>
            </w:r>
          </w:p>
        </w:tc>
        <w:tc>
          <w:tcPr>
            <w:tcW w:w="4640" w:type="dxa"/>
            <w:vAlign w:val="center"/>
          </w:tcPr>
          <w:p>
            <w:pPr>
              <w:adjustRightInd w:val="0"/>
              <w:snapToGrid w:val="0"/>
              <w:ind w:firstLine="420" w:firstLineChars="200"/>
              <w:rPr>
                <w:rFonts w:ascii="Times New Roman" w:hAnsi="Times New Roman"/>
                <w:color w:val="auto"/>
              </w:rPr>
            </w:pPr>
            <w:r>
              <w:rPr>
                <w:rFonts w:hint="eastAsia" w:ascii="Times New Roman" w:hAnsi="Times New Roman"/>
                <w:color w:val="auto"/>
              </w:rPr>
              <w:t>《生产安全事故应急预案管理办法》第十条  编制应急预案前，编制单位应当进行事故风险辨识、评估和应急资源调查。</w:t>
            </w:r>
          </w:p>
          <w:p>
            <w:pPr>
              <w:adjustRightInd w:val="0"/>
              <w:snapToGrid w:val="0"/>
              <w:ind w:firstLine="420" w:firstLineChars="200"/>
              <w:rPr>
                <w:rFonts w:ascii="Times New Roman" w:hAnsi="Times New Roman"/>
                <w:color w:val="auto"/>
              </w:rPr>
            </w:pPr>
            <w:r>
              <w:rPr>
                <w:rFonts w:hint="eastAsia" w:ascii="Times New Roman" w:hAnsi="Times New Roman"/>
                <w:color w:val="auto"/>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adjustRightInd w:val="0"/>
              <w:snapToGrid w:val="0"/>
              <w:ind w:firstLine="420" w:firstLineChars="200"/>
              <w:rPr>
                <w:rFonts w:ascii="宋体" w:hAnsi="宋体" w:cs="宋体"/>
                <w:color w:val="auto"/>
                <w:kern w:val="0"/>
                <w:szCs w:val="21"/>
                <w:bdr w:val="single" w:color="auto" w:sz="4" w:space="0"/>
              </w:rPr>
            </w:pPr>
            <w:r>
              <w:rPr>
                <w:rFonts w:hint="eastAsia" w:ascii="Times New Roman" w:hAnsi="Times New Roman"/>
                <w:color w:val="auto"/>
              </w:rPr>
              <w:t>应急资源调查，是指全面调查本地区、本单位第一时间可以调用的应急资源状况和合作区域内可以请求援助的应急资源状况，并结合事故风险辨识评估结论制定应急措施的过程。</w:t>
            </w:r>
          </w:p>
        </w:tc>
        <w:tc>
          <w:tcPr>
            <w:tcW w:w="3918" w:type="dxa"/>
            <w:vAlign w:val="center"/>
          </w:tcPr>
          <w:p>
            <w:pPr>
              <w:widowControl/>
              <w:adjustRightInd w:val="0"/>
              <w:snapToGrid w:val="0"/>
              <w:ind w:firstLine="420" w:firstLineChars="200"/>
              <w:rPr>
                <w:color w:val="auto"/>
                <w:highlight w:val="none"/>
              </w:rPr>
            </w:pPr>
            <w:r>
              <w:rPr>
                <w:rFonts w:hint="eastAsia"/>
                <w:color w:val="auto"/>
              </w:rPr>
              <w:t>《生产安全事故应急预案管理办法》第四十五条  生产经营单位有下列情形之一的，由县级以上人民政府</w:t>
            </w:r>
            <w:r>
              <w:rPr>
                <w:rFonts w:hint="eastAsia"/>
                <w:color w:val="auto"/>
                <w:highlight w:val="none"/>
              </w:rPr>
              <w:t>应急管理部门责令限期改正，可以处</w:t>
            </w:r>
            <w:r>
              <w:rPr>
                <w:rFonts w:hint="eastAsia" w:asciiTheme="minorEastAsia" w:hAnsiTheme="minorEastAsia" w:eastAsiaTheme="minorEastAsia"/>
                <w:color w:val="auto"/>
                <w:highlight w:val="none"/>
              </w:rPr>
              <w:t>1</w:t>
            </w:r>
            <w:r>
              <w:rPr>
                <w:rFonts w:hint="eastAsia"/>
                <w:color w:val="auto"/>
                <w:highlight w:val="none"/>
              </w:rPr>
              <w:t>万元以上</w:t>
            </w:r>
            <w:r>
              <w:rPr>
                <w:rFonts w:hint="eastAsia" w:asciiTheme="minorEastAsia" w:hAnsiTheme="minorEastAsia" w:eastAsiaTheme="minorEastAsia"/>
                <w:color w:val="auto"/>
                <w:highlight w:val="none"/>
              </w:rPr>
              <w:t>3</w:t>
            </w:r>
            <w:r>
              <w:rPr>
                <w:rFonts w:hint="eastAsia"/>
                <w:color w:val="auto"/>
                <w:highlight w:val="none"/>
              </w:rPr>
              <w:t>万元以下的罚款：</w:t>
            </w:r>
          </w:p>
          <w:p>
            <w:pPr>
              <w:widowControl/>
              <w:adjustRightInd w:val="0"/>
              <w:snapToGrid w:val="0"/>
              <w:ind w:firstLine="420" w:firstLineChars="200"/>
              <w:rPr>
                <w:color w:val="auto"/>
              </w:rPr>
            </w:pPr>
            <w:r>
              <w:rPr>
                <w:rFonts w:hint="eastAsia"/>
                <w:color w:val="auto"/>
                <w:highlight w:val="none"/>
              </w:rPr>
              <w:t>（一）在应急预案编制前未按照规定开展风险辨识</w:t>
            </w:r>
            <w:r>
              <w:rPr>
                <w:rFonts w:hint="eastAsia"/>
                <w:color w:val="auto"/>
              </w:rPr>
              <w:t>、评估和应急资源调查的；</w:t>
            </w:r>
          </w:p>
          <w:p>
            <w:pPr>
              <w:pStyle w:val="2"/>
              <w:ind w:firstLine="420"/>
              <w:rPr>
                <w:rFonts w:eastAsia="宋体"/>
                <w:color w:val="auto"/>
              </w:rPr>
            </w:pPr>
            <w:r>
              <w:rPr>
                <w:rFonts w:hint="eastAsia" w:ascii="宋体" w:hAnsi="宋体" w:eastAsia="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62"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8</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应急预案评审或者论证情况</w:t>
            </w:r>
          </w:p>
        </w:tc>
        <w:tc>
          <w:tcPr>
            <w:tcW w:w="1863" w:type="dxa"/>
            <w:vAlign w:val="center"/>
          </w:tcPr>
          <w:p>
            <w:pPr>
              <w:widowControl/>
              <w:adjustRightInd w:val="0"/>
              <w:snapToGrid w:val="0"/>
              <w:rPr>
                <w:rFonts w:ascii="宋体" w:hAnsi="宋体"/>
                <w:bCs/>
                <w:color w:val="auto"/>
                <w:szCs w:val="21"/>
              </w:rPr>
            </w:pPr>
            <w:r>
              <w:rPr>
                <w:rFonts w:hint="eastAsia" w:ascii="宋体" w:hAnsi="宋体"/>
                <w:bCs/>
                <w:color w:val="auto"/>
                <w:szCs w:val="21"/>
              </w:rPr>
              <w:t>高危行业生产经营单位进行应急预案评审，其他生产经营单位进行论证</w:t>
            </w:r>
          </w:p>
        </w:tc>
        <w:tc>
          <w:tcPr>
            <w:tcW w:w="4640" w:type="dxa"/>
            <w:vAlign w:val="center"/>
          </w:tcPr>
          <w:p>
            <w:pPr>
              <w:adjustRightInd w:val="0"/>
              <w:snapToGrid w:val="0"/>
              <w:ind w:firstLine="420" w:firstLineChars="200"/>
              <w:rPr>
                <w:rFonts w:ascii="宋体" w:hAnsi="宋体"/>
                <w:bCs/>
                <w:color w:val="auto"/>
                <w:szCs w:val="21"/>
              </w:rPr>
            </w:pPr>
            <w:r>
              <w:rPr>
                <w:rFonts w:hint="eastAsia" w:ascii="宋体" w:hAnsi="宋体"/>
                <w:bCs/>
                <w:color w:val="auto"/>
                <w:szCs w:val="21"/>
              </w:rPr>
              <w:t>《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adjustRightInd w:val="0"/>
              <w:snapToGrid w:val="0"/>
              <w:ind w:firstLine="420" w:firstLineChars="200"/>
              <w:rPr>
                <w:rFonts w:ascii="宋体" w:hAnsi="宋体"/>
                <w:bCs/>
                <w:color w:val="auto"/>
                <w:szCs w:val="21"/>
              </w:rPr>
            </w:pPr>
            <w:r>
              <w:rPr>
                <w:rFonts w:hint="eastAsia" w:ascii="宋体" w:hAnsi="宋体"/>
                <w:bCs/>
                <w:color w:val="auto"/>
                <w:szCs w:val="21"/>
              </w:rPr>
              <w:t>前款规定以外的其他生产经营单位可以根据自身需要，对本单位编制的应急预案进行论证。</w:t>
            </w:r>
          </w:p>
          <w:p>
            <w:pPr>
              <w:adjustRightInd w:val="0"/>
              <w:snapToGrid w:val="0"/>
              <w:ind w:firstLine="420" w:firstLineChars="200"/>
              <w:rPr>
                <w:rFonts w:ascii="宋体" w:hAnsi="宋体"/>
                <w:bCs/>
                <w:color w:val="auto"/>
                <w:szCs w:val="21"/>
              </w:rPr>
            </w:pPr>
            <w:r>
              <w:rPr>
                <w:rFonts w:hint="eastAsia" w:ascii="宋体" w:hAnsi="宋体"/>
                <w:bCs/>
                <w:color w:val="auto"/>
                <w:szCs w:val="21"/>
              </w:rPr>
              <w:t>第二十三条  应急预案的评审或者论证应当注重基本要素的完整性、组织体系的合理性、应急处置程序和措施的针对性、应急保障措施的可行性、应急预案的衔接性等内容。</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（二）未按照规定开展应急预案评审的；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38" w:hRule="atLeast"/>
          <w:jc w:val="center"/>
        </w:trPr>
        <w:tc>
          <w:tcPr>
            <w:tcW w:w="862" w:type="dxa"/>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19</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应急预案备案情况</w:t>
            </w:r>
          </w:p>
        </w:tc>
        <w:tc>
          <w:tcPr>
            <w:tcW w:w="1863" w:type="dxa"/>
            <w:vAlign w:val="center"/>
          </w:tcPr>
          <w:p>
            <w:pPr>
              <w:widowControl/>
              <w:adjustRightInd w:val="0"/>
              <w:snapToGrid w:val="0"/>
              <w:rPr>
                <w:rFonts w:ascii="宋体" w:hAnsi="宋体"/>
                <w:bCs/>
                <w:color w:val="auto"/>
                <w:szCs w:val="21"/>
              </w:rPr>
            </w:pPr>
            <w:r>
              <w:rPr>
                <w:rFonts w:hint="eastAsia" w:ascii="宋体" w:hAnsi="宋体"/>
                <w:bCs/>
                <w:color w:val="auto"/>
                <w:szCs w:val="21"/>
              </w:rPr>
              <w:t>按照生产经营单位隶属关系、行业领域、规模等备案</w:t>
            </w:r>
          </w:p>
        </w:tc>
        <w:tc>
          <w:tcPr>
            <w:tcW w:w="4640" w:type="dxa"/>
            <w:vAlign w:val="center"/>
          </w:tcPr>
          <w:p>
            <w:pPr>
              <w:adjustRightInd w:val="0"/>
              <w:snapToGrid w:val="0"/>
              <w:ind w:firstLine="420" w:firstLineChars="200"/>
              <w:rPr>
                <w:rFonts w:ascii="宋体" w:hAnsi="宋体"/>
                <w:bCs/>
                <w:color w:val="auto"/>
                <w:szCs w:val="21"/>
              </w:rPr>
            </w:pPr>
            <w:r>
              <w:rPr>
                <w:rFonts w:hint="eastAsia" w:ascii="宋体" w:hAnsi="宋体"/>
                <w:bCs/>
                <w:color w:val="auto"/>
                <w:szCs w:val="21"/>
              </w:rPr>
              <w:t>《生产安全事故应急预案管理办法》第二十六条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adjustRightInd w:val="0"/>
              <w:snapToGrid w:val="0"/>
              <w:ind w:firstLine="420" w:firstLineChars="200"/>
              <w:rPr>
                <w:rFonts w:ascii="宋体" w:hAnsi="宋体"/>
                <w:bCs/>
                <w:color w:val="auto"/>
                <w:szCs w:val="21"/>
              </w:rPr>
            </w:pPr>
            <w:r>
              <w:rPr>
                <w:rFonts w:hint="eastAsia" w:ascii="宋体" w:hAnsi="宋体"/>
                <w:bCs/>
                <w:color w:val="auto"/>
                <w:szCs w:val="21"/>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pPr>
              <w:adjustRightInd w:val="0"/>
              <w:snapToGrid w:val="0"/>
              <w:ind w:firstLine="420" w:firstLineChars="200"/>
              <w:rPr>
                <w:rFonts w:ascii="宋体" w:hAnsi="宋体"/>
                <w:bCs/>
                <w:color w:val="auto"/>
                <w:szCs w:val="21"/>
              </w:rPr>
            </w:pPr>
            <w:r>
              <w:rPr>
                <w:rFonts w:hint="eastAsia" w:ascii="宋体" w:hAnsi="宋体"/>
                <w:bCs/>
                <w:color w:val="auto"/>
                <w:szCs w:val="21"/>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pPr>
              <w:adjustRightInd w:val="0"/>
              <w:snapToGrid w:val="0"/>
              <w:ind w:firstLine="420" w:firstLineChars="200"/>
              <w:rPr>
                <w:rFonts w:ascii="宋体" w:hAnsi="宋体"/>
                <w:bCs/>
                <w:color w:val="auto"/>
                <w:szCs w:val="21"/>
              </w:rPr>
            </w:pPr>
            <w:r>
              <w:rPr>
                <w:rFonts w:hint="eastAsia" w:ascii="宋体" w:hAnsi="宋体"/>
                <w:bCs/>
                <w:color w:val="auto"/>
                <w:szCs w:val="21"/>
              </w:rPr>
              <w:t>油气输送管道运营单位的应急预案，除按照本条第一款、第二款的规定备案外，还应当抄送所经行政区域的县级人民政府应急管理部门。</w:t>
            </w:r>
          </w:p>
          <w:p>
            <w:pPr>
              <w:adjustRightInd w:val="0"/>
              <w:snapToGrid w:val="0"/>
              <w:ind w:firstLine="420" w:firstLineChars="200"/>
              <w:rPr>
                <w:rFonts w:ascii="宋体" w:hAnsi="宋体"/>
                <w:bCs/>
                <w:color w:val="auto"/>
                <w:szCs w:val="21"/>
              </w:rPr>
            </w:pPr>
            <w:r>
              <w:rPr>
                <w:rFonts w:hint="eastAsia" w:ascii="宋体" w:hAnsi="宋体"/>
                <w:bCs/>
                <w:color w:val="auto"/>
                <w:szCs w:val="21"/>
              </w:rPr>
              <w:t>海洋石油开采企业的应急预案，除按照本条第一款、第二款的规定备案外，还应当抄送所经行政区域的县级人民政府应急管理部门和海洋石油安全监管机构。</w:t>
            </w:r>
          </w:p>
          <w:p>
            <w:pPr>
              <w:adjustRightInd w:val="0"/>
              <w:snapToGrid w:val="0"/>
              <w:ind w:firstLine="420" w:firstLineChars="200"/>
              <w:rPr>
                <w:rFonts w:ascii="宋体" w:hAnsi="宋体"/>
                <w:bCs/>
                <w:color w:val="auto"/>
                <w:szCs w:val="21"/>
              </w:rPr>
            </w:pPr>
            <w:r>
              <w:rPr>
                <w:rFonts w:hint="eastAsia" w:ascii="宋体" w:hAnsi="宋体"/>
                <w:bCs/>
                <w:color w:val="auto"/>
                <w:szCs w:val="21"/>
              </w:rPr>
              <w:t>煤矿企业的应急预案除按照本条第一款、第二款的规定备案外，还应当抄送所在地的煤矿安全监察机构。</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586" w:hRule="atLeast"/>
          <w:jc w:val="center"/>
        </w:trPr>
        <w:tc>
          <w:tcPr>
            <w:tcW w:w="862"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0</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事故风险及应急措施告知情况</w:t>
            </w:r>
          </w:p>
        </w:tc>
        <w:tc>
          <w:tcPr>
            <w:tcW w:w="1863" w:type="dxa"/>
            <w:vAlign w:val="center"/>
          </w:tcPr>
          <w:p>
            <w:pPr>
              <w:widowControl/>
              <w:adjustRightInd w:val="0"/>
              <w:snapToGrid w:val="0"/>
              <w:rPr>
                <w:rFonts w:ascii="宋体" w:hAnsi="宋体"/>
                <w:bCs/>
                <w:color w:val="auto"/>
                <w:szCs w:val="21"/>
              </w:rPr>
            </w:pPr>
            <w:r>
              <w:rPr>
                <w:rFonts w:hint="eastAsia" w:ascii="宋体" w:hAnsi="宋体"/>
                <w:bCs/>
                <w:color w:val="auto"/>
                <w:szCs w:val="21"/>
              </w:rPr>
              <w:t>将有关事故风险的性质、影响范围和应急防范措施告知周边的其他单位和人员</w:t>
            </w:r>
          </w:p>
        </w:tc>
        <w:tc>
          <w:tcPr>
            <w:tcW w:w="4640" w:type="dxa"/>
            <w:vAlign w:val="center"/>
          </w:tcPr>
          <w:p>
            <w:pPr>
              <w:adjustRightInd w:val="0"/>
              <w:snapToGrid w:val="0"/>
              <w:ind w:firstLine="420" w:firstLineChars="200"/>
              <w:rPr>
                <w:rFonts w:ascii="Times New Roman" w:hAnsi="Times New Roman"/>
                <w:color w:val="auto"/>
              </w:rPr>
            </w:pPr>
            <w:r>
              <w:rPr>
                <w:rFonts w:hint="eastAsia" w:ascii="Times New Roman" w:hAnsi="Times New Roman"/>
                <w:color w:val="auto"/>
              </w:rPr>
              <w:t>《生产安全事故应急预案管理办法》第二十四条  ……</w:t>
            </w:r>
          </w:p>
          <w:p>
            <w:pPr>
              <w:adjustRightInd w:val="0"/>
              <w:snapToGrid w:val="0"/>
              <w:ind w:firstLine="420" w:firstLineChars="200"/>
              <w:rPr>
                <w:rFonts w:ascii="宋体" w:hAnsi="宋体"/>
                <w:bCs/>
                <w:color w:val="auto"/>
                <w:szCs w:val="21"/>
              </w:rPr>
            </w:pPr>
            <w:r>
              <w:rPr>
                <w:rFonts w:hint="eastAsia" w:ascii="宋体" w:hAnsi="宋体"/>
                <w:bCs/>
                <w:color w:val="auto"/>
                <w:szCs w:val="21"/>
              </w:rPr>
              <w:t>事故风险可能影响周边其他单位、人员的，生产经营单位应当将有关事故风险的性质、影响范围和应急防范措施告知周边的其他单位和人员。</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（三）事故风险可能影响周边单位、人员的，未将事故风险的性质、影响范围和应急防范措施告知周边单位和人员的；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02" w:hRule="atLeast"/>
          <w:jc w:val="center"/>
        </w:trPr>
        <w:tc>
          <w:tcPr>
            <w:tcW w:w="862"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1</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应急预案评估情况</w:t>
            </w:r>
          </w:p>
        </w:tc>
        <w:tc>
          <w:tcPr>
            <w:tcW w:w="1863" w:type="dxa"/>
            <w:vAlign w:val="center"/>
          </w:tcPr>
          <w:p>
            <w:pPr>
              <w:adjustRightInd w:val="0"/>
              <w:snapToGrid w:val="0"/>
              <w:rPr>
                <w:rFonts w:ascii="宋体" w:hAnsi="宋体"/>
                <w:bCs/>
                <w:color w:val="auto"/>
                <w:szCs w:val="21"/>
              </w:rPr>
            </w:pPr>
            <w:r>
              <w:rPr>
                <w:rFonts w:hint="eastAsia" w:ascii="Times New Roman" w:hAnsi="Times New Roman"/>
                <w:color w:val="auto"/>
              </w:rPr>
              <w:t>建立应急预案定期评估制度，高危行业领域及中型规模以上生产经营单位每三年进行一次评估</w:t>
            </w:r>
          </w:p>
        </w:tc>
        <w:tc>
          <w:tcPr>
            <w:tcW w:w="4640" w:type="dxa"/>
            <w:vAlign w:val="center"/>
          </w:tcPr>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《生产安全事故应急预案管理办法》第三十五条  应急预案编制单位应当建立应急预案定期评估制度，对预案内容的针对性和实用性进行分析，并对应急预案是否需要修订作出结论。</w:t>
            </w:r>
          </w:p>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adjustRightInd w:val="0"/>
              <w:snapToGrid w:val="0"/>
              <w:spacing w:line="240" w:lineRule="exact"/>
              <w:ind w:firstLine="420" w:firstLineChars="200"/>
              <w:rPr>
                <w:rFonts w:ascii="宋体" w:hAnsi="宋体"/>
                <w:bCs/>
                <w:color w:val="auto"/>
                <w:szCs w:val="21"/>
              </w:rPr>
            </w:pPr>
            <w:r>
              <w:rPr>
                <w:rFonts w:hint="eastAsia" w:ascii="Times New Roman" w:hAnsi="Times New Roman"/>
                <w:color w:val="auto"/>
              </w:rPr>
              <w:t>应急预案评估可以邀请相关专业机构或者有关专家、有实际应急救援工作经验的人员参加，必要时可以委托安全生产技术服务机构实施。</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（四）未按照规定开展应急预案评估的；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288" w:hRule="atLeast"/>
          <w:jc w:val="center"/>
        </w:trPr>
        <w:tc>
          <w:tcPr>
            <w:tcW w:w="862"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2</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应急预案修订和重新备案情况</w:t>
            </w:r>
          </w:p>
        </w:tc>
        <w:tc>
          <w:tcPr>
            <w:tcW w:w="1863" w:type="dxa"/>
            <w:vAlign w:val="center"/>
          </w:tcPr>
          <w:p>
            <w:pPr>
              <w:widowControl/>
              <w:adjustRightInd w:val="0"/>
              <w:snapToGrid w:val="0"/>
              <w:rPr>
                <w:rFonts w:ascii="宋体" w:hAnsi="宋体"/>
                <w:bCs/>
                <w:color w:val="auto"/>
                <w:szCs w:val="21"/>
              </w:rPr>
            </w:pPr>
            <w:r>
              <w:rPr>
                <w:rFonts w:hint="eastAsia" w:ascii="Times New Roman" w:hAnsi="Times New Roman"/>
                <w:color w:val="auto"/>
              </w:rPr>
              <w:t>应急预案应当及时修订并归档，并按要求进行备案</w:t>
            </w:r>
          </w:p>
        </w:tc>
        <w:tc>
          <w:tcPr>
            <w:tcW w:w="4640" w:type="dxa"/>
            <w:vAlign w:val="center"/>
          </w:tcPr>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《生产安全事故应急预案管理办法》第三十六条  有下列情形之一的，应急预案应当及时修订并归档：</w:t>
            </w:r>
          </w:p>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（一）依据的法律、法规、规章、标准及上位预案中的有关规定发生重大变化的；</w:t>
            </w:r>
          </w:p>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（二）应急指挥机构及其职责发生调整的；</w:t>
            </w:r>
          </w:p>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（三）安全生产面临的风险发生重大变化的；</w:t>
            </w:r>
          </w:p>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（四）重要应急资源发生重大变化的；</w:t>
            </w:r>
          </w:p>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（五）在应急演练和事故应急救援中发现需要修订预案的重大问题的；</w:t>
            </w:r>
          </w:p>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（六）编制单位认为应当修订的其他情况。</w:t>
            </w:r>
          </w:p>
          <w:p>
            <w:pPr>
              <w:adjustRightInd w:val="0"/>
              <w:snapToGrid w:val="0"/>
              <w:spacing w:line="240" w:lineRule="exact"/>
              <w:ind w:firstLine="420" w:firstLineChars="200"/>
              <w:rPr>
                <w:rFonts w:ascii="宋体" w:hAnsi="宋体"/>
                <w:bCs/>
                <w:color w:val="auto"/>
                <w:szCs w:val="21"/>
              </w:rPr>
            </w:pPr>
            <w:r>
              <w:rPr>
                <w:rFonts w:hint="eastAsia" w:ascii="宋体" w:hAnsi="宋体"/>
                <w:bCs/>
                <w:color w:val="auto"/>
                <w:szCs w:val="21"/>
              </w:rPr>
              <w:t>第三十七条　应急预案修订涉及组织指挥体系与职责、应急处置程序、主要处置措施、应急响应分级等内容变更的，修订工作应当参照本办法规定的应急预案编制程序进行，并按照有关应急预案报备程序重新备案。</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Times New Roman" w:hAnsi="Times New Roman"/>
                <w:color w:val="auto"/>
              </w:rPr>
              <w:t>《生产安全事故应急预案管理办法》</w:t>
            </w:r>
            <w:r>
              <w:rPr>
                <w:rFonts w:hint="eastAsia" w:ascii="宋体" w:hAnsi="宋体" w:cs="宋体"/>
                <w:color w:val="auto"/>
                <w:kern w:val="0"/>
                <w:szCs w:val="21"/>
              </w:rPr>
              <w:t>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numPr>
                <w:ilvl w:val="255"/>
                <w:numId w:val="0"/>
              </w:numPr>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（五）未按照规定进行应急预案修订的；</w:t>
            </w:r>
          </w:p>
          <w:p>
            <w:pPr>
              <w:widowControl/>
              <w:adjustRightInd w:val="0"/>
              <w:snapToGrid w:val="0"/>
              <w:ind w:left="420" w:left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3</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应急物资及装备情况</w:t>
            </w:r>
          </w:p>
        </w:tc>
        <w:tc>
          <w:tcPr>
            <w:tcW w:w="1863" w:type="dxa"/>
            <w:vAlign w:val="center"/>
          </w:tcPr>
          <w:p>
            <w:pPr>
              <w:widowControl/>
              <w:adjustRightInd w:val="0"/>
              <w:snapToGrid w:val="0"/>
              <w:rPr>
                <w:rFonts w:ascii="宋体" w:hAnsi="宋体"/>
                <w:bCs/>
                <w:color w:val="auto"/>
                <w:szCs w:val="21"/>
              </w:rPr>
            </w:pPr>
            <w:r>
              <w:rPr>
                <w:rFonts w:hint="eastAsia" w:ascii="宋体" w:hAnsi="宋体"/>
                <w:bCs/>
                <w:color w:val="auto"/>
                <w:szCs w:val="21"/>
              </w:rPr>
              <w:t>按照应急预案的规定，落实应急物资及装备</w:t>
            </w:r>
          </w:p>
        </w:tc>
        <w:tc>
          <w:tcPr>
            <w:tcW w:w="4640" w:type="dxa"/>
            <w:vAlign w:val="center"/>
          </w:tcPr>
          <w:p>
            <w:pPr>
              <w:adjustRightInd w:val="0"/>
              <w:snapToGrid w:val="0"/>
              <w:spacing w:line="240" w:lineRule="exact"/>
              <w:ind w:firstLine="420" w:firstLineChars="200"/>
              <w:rPr>
                <w:rFonts w:ascii="宋体" w:hAnsi="宋体"/>
                <w:bCs/>
                <w:color w:val="auto"/>
                <w:szCs w:val="21"/>
              </w:rPr>
            </w:pPr>
            <w:r>
              <w:rPr>
                <w:rFonts w:hint="eastAsia" w:ascii="Times New Roman" w:hAnsi="Times New Roman"/>
                <w:color w:val="auto"/>
              </w:rPr>
              <w:t>《生产安全事故应急预案管理办法》第三十八条　生产经营单位应当按照应急预案的规定，落实应急指挥体系、应急救援队伍、应急物资及装备，建立应急物资、装备配备及其使用档案，并对应急物资、装备进行定期检测和维护，使其处于适用状态。</w:t>
            </w:r>
          </w:p>
        </w:tc>
        <w:tc>
          <w:tcPr>
            <w:tcW w:w="3918" w:type="dxa"/>
            <w:vAlign w:val="center"/>
          </w:tcPr>
          <w:p>
            <w:pPr>
              <w:widowControl/>
              <w:adjustRightInd w:val="0"/>
              <w:snapToGrid w:val="0"/>
              <w:spacing w:line="240" w:lineRule="exact"/>
              <w:ind w:firstLine="420" w:firstLineChars="200"/>
              <w:rPr>
                <w:rFonts w:ascii="宋体" w:hAnsi="宋体" w:cs="宋体"/>
                <w:color w:val="auto"/>
                <w:kern w:val="0"/>
                <w:szCs w:val="21"/>
              </w:rPr>
            </w:pPr>
            <w:r>
              <w:rPr>
                <w:rFonts w:hint="eastAsia" w:ascii="Times New Roman" w:hAnsi="Times New Roman"/>
                <w:color w:val="auto"/>
              </w:rPr>
              <w:t>《生产安全事故应急预案管理办法》</w:t>
            </w:r>
            <w:r>
              <w:rPr>
                <w:rFonts w:hint="eastAsia" w:ascii="宋体" w:hAnsi="宋体" w:cs="宋体"/>
                <w:color w:val="auto"/>
                <w:kern w:val="0"/>
                <w:szCs w:val="21"/>
              </w:rPr>
              <w:t>第四十五条  生产经营单位有下列情形之一的，由县级以上安全生产监督管理部门责令限期改正，可以处1万元以上3万元以下罚款：</w:t>
            </w:r>
          </w:p>
          <w:p>
            <w:pPr>
              <w:widowControl/>
              <w:adjustRightInd w:val="0"/>
              <w:snapToGrid w:val="0"/>
              <w:spacing w:line="240" w:lineRule="exact"/>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numPr>
                <w:ilvl w:val="255"/>
                <w:numId w:val="0"/>
              </w:num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（六）未落实应急预案规定的应急物资及装备的。</w:t>
            </w:r>
          </w:p>
          <w:p>
            <w:pPr>
              <w:widowControl/>
              <w:adjustRightInd w:val="0"/>
              <w:snapToGrid w:val="0"/>
              <w:spacing w:line="240" w:lineRule="exact"/>
              <w:ind w:left="420" w:leftChars="200" w:firstLine="210" w:firstLineChars="100"/>
              <w:rPr>
                <w:rFonts w:ascii="Times New Roman" w:hAnsi="Times New Roman"/>
                <w:color w:val="auto"/>
              </w:rPr>
            </w:pPr>
            <w:r>
              <w:rPr>
                <w:rFonts w:hint="eastAsia" w:ascii="Times New Roman" w:hAnsi="Times New Roman"/>
                <w:color w:val="auto"/>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Merge w:val="restart"/>
            <w:vAlign w:val="center"/>
          </w:tcPr>
          <w:p>
            <w:pPr>
              <w:jc w:val="center"/>
              <w:rPr>
                <w:rFonts w:hint="eastAsia" w:ascii="宋体" w:hAnsi="宋体"/>
                <w:color w:val="auto"/>
                <w:szCs w:val="21"/>
                <w:lang w:val="en-US" w:eastAsia="zh-CN"/>
              </w:rPr>
            </w:pPr>
            <w:r>
              <w:rPr>
                <w:rFonts w:hint="eastAsia" w:ascii="宋体" w:hAnsi="宋体"/>
                <w:color w:val="auto"/>
                <w:szCs w:val="21"/>
                <w:lang w:val="en-US" w:eastAsia="zh-CN"/>
              </w:rPr>
              <w:t>24</w:t>
            </w:r>
          </w:p>
        </w:tc>
        <w:tc>
          <w:tcPr>
            <w:tcW w:w="1777" w:type="dxa"/>
            <w:vMerge w:val="restart"/>
            <w:vAlign w:val="center"/>
          </w:tcPr>
          <w:p>
            <w:pPr>
              <w:jc w:val="both"/>
              <w:rPr>
                <w:rFonts w:hint="eastAsia" w:ascii="宋体" w:hAnsi="宋体"/>
                <w:color w:val="auto"/>
                <w:szCs w:val="21"/>
              </w:rPr>
            </w:pPr>
            <w:r>
              <w:rPr>
                <w:rFonts w:hint="eastAsia" w:ascii="宋体" w:hAnsi="宋体"/>
                <w:color w:val="auto"/>
                <w:szCs w:val="21"/>
              </w:rPr>
              <w:t>承担安全评价、认证、检测、检验职责的机构出具报告</w:t>
            </w:r>
            <w:r>
              <w:rPr>
                <w:rFonts w:hint="eastAsia" w:ascii="宋体" w:hAnsi="宋体"/>
                <w:color w:val="auto"/>
                <w:szCs w:val="21"/>
                <w:lang w:eastAsia="zh-CN"/>
              </w:rPr>
              <w:t>情况</w:t>
            </w:r>
          </w:p>
        </w:tc>
        <w:tc>
          <w:tcPr>
            <w:tcW w:w="1863" w:type="dxa"/>
            <w:vAlign w:val="center"/>
          </w:tcPr>
          <w:p>
            <w:pPr>
              <w:jc w:val="both"/>
              <w:rPr>
                <w:rFonts w:hint="eastAsia" w:ascii="宋体" w:hAnsi="宋体"/>
                <w:color w:val="auto"/>
                <w:szCs w:val="21"/>
              </w:rPr>
            </w:pPr>
            <w:r>
              <w:rPr>
                <w:rFonts w:hint="eastAsia" w:ascii="宋体" w:hAnsi="宋体"/>
                <w:color w:val="auto"/>
                <w:szCs w:val="21"/>
                <w:lang w:val="en-US" w:eastAsia="zh-CN"/>
              </w:rPr>
              <w:t>24.1</w:t>
            </w:r>
            <w:r>
              <w:rPr>
                <w:rFonts w:hint="eastAsia" w:ascii="宋体" w:hAnsi="宋体"/>
                <w:color w:val="auto"/>
                <w:szCs w:val="21"/>
              </w:rPr>
              <w:t>承担安全评价、认证、检测、检验职责的机构应当具备国家规定的资质条件，并对其作出的安全评价、认证、检测、检验结果的合法性、真实性负责。</w:t>
            </w:r>
          </w:p>
        </w:tc>
        <w:tc>
          <w:tcPr>
            <w:tcW w:w="4640"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jc w:val="both"/>
              <w:rPr>
                <w:rFonts w:hint="eastAsia" w:ascii="宋体" w:hAnsi="宋体"/>
                <w:color w:val="auto"/>
                <w:szCs w:val="21"/>
              </w:rPr>
            </w:pPr>
          </w:p>
        </w:tc>
        <w:tc>
          <w:tcPr>
            <w:tcW w:w="3918"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第九十二条　承担安全评价、认证、检测、检验职责的机构出具失实报告的，责令停业整顿，并处三万元以上十万元以下的罚款；给他人造成损害的，依法承担赔偿责任。</w:t>
            </w:r>
          </w:p>
        </w:tc>
        <w:tc>
          <w:tcPr>
            <w:tcW w:w="819" w:type="dxa"/>
            <w:vAlign w:val="center"/>
          </w:tcPr>
          <w:p>
            <w:pPr>
              <w:jc w:val="both"/>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Merge w:val="continue"/>
            <w:vAlign w:val="center"/>
          </w:tcPr>
          <w:p>
            <w:pPr>
              <w:jc w:val="center"/>
              <w:rPr>
                <w:rFonts w:hint="eastAsia" w:ascii="宋体" w:hAnsi="宋体"/>
                <w:color w:val="auto"/>
                <w:szCs w:val="21"/>
                <w:lang w:val="en-US" w:eastAsia="zh-CN"/>
              </w:rPr>
            </w:pPr>
          </w:p>
        </w:tc>
        <w:tc>
          <w:tcPr>
            <w:tcW w:w="1777" w:type="dxa"/>
            <w:vMerge w:val="continue"/>
            <w:vAlign w:val="center"/>
          </w:tcPr>
          <w:p>
            <w:pPr>
              <w:jc w:val="both"/>
              <w:rPr>
                <w:rFonts w:hint="eastAsia" w:ascii="宋体" w:hAnsi="宋体"/>
                <w:color w:val="auto"/>
                <w:szCs w:val="21"/>
              </w:rPr>
            </w:pPr>
          </w:p>
        </w:tc>
        <w:tc>
          <w:tcPr>
            <w:tcW w:w="1863" w:type="dxa"/>
            <w:vAlign w:val="center"/>
          </w:tcPr>
          <w:p>
            <w:pPr>
              <w:jc w:val="both"/>
              <w:rPr>
                <w:rFonts w:hint="eastAsia" w:ascii="宋体" w:hAnsi="宋体"/>
                <w:color w:val="auto"/>
                <w:szCs w:val="21"/>
              </w:rPr>
            </w:pPr>
            <w:r>
              <w:rPr>
                <w:rFonts w:hint="eastAsia" w:ascii="宋体" w:hAnsi="宋体"/>
                <w:color w:val="auto"/>
                <w:szCs w:val="21"/>
                <w:lang w:val="en-US" w:eastAsia="zh-CN"/>
              </w:rPr>
              <w:t>24.2</w:t>
            </w:r>
            <w:r>
              <w:rPr>
                <w:rFonts w:hint="eastAsia" w:ascii="宋体" w:hAnsi="宋体"/>
                <w:color w:val="auto"/>
                <w:szCs w:val="21"/>
              </w:rPr>
              <w:t>承担安全评价、认证、检测、检验职责的机构不得租借资质、挂靠、出具虚假报告。</w:t>
            </w:r>
          </w:p>
          <w:p>
            <w:pPr>
              <w:jc w:val="both"/>
              <w:rPr>
                <w:rFonts w:hint="eastAsia" w:ascii="宋体" w:hAnsi="宋体" w:eastAsia="宋体"/>
                <w:color w:val="auto"/>
                <w:szCs w:val="21"/>
                <w:lang w:val="en-US" w:eastAsia="zh-CN"/>
              </w:rPr>
            </w:pPr>
          </w:p>
        </w:tc>
        <w:tc>
          <w:tcPr>
            <w:tcW w:w="4640" w:type="dxa"/>
            <w:vAlign w:val="center"/>
          </w:tcPr>
          <w:p>
            <w:pPr>
              <w:ind w:firstLine="420" w:firstLineChars="200"/>
              <w:jc w:val="both"/>
              <w:rPr>
                <w:rFonts w:hint="eastAsia" w:ascii="宋体" w:hAnsi="宋体"/>
                <w:color w:val="auto"/>
                <w:szCs w:val="21"/>
                <w:lang w:val="en-US" w:eastAsia="zh-CN"/>
              </w:rPr>
            </w:pPr>
            <w:r>
              <w:rPr>
                <w:rFonts w:hint="eastAsia" w:ascii="宋体" w:hAnsi="宋体"/>
                <w:color w:val="auto"/>
                <w:szCs w:val="21"/>
                <w:lang w:eastAsia="zh-CN"/>
              </w:rPr>
              <w:t>《中华人民共和国安全生产法》</w:t>
            </w:r>
            <w:r>
              <w:rPr>
                <w:rFonts w:hint="eastAsia" w:ascii="宋体" w:hAnsi="宋体"/>
                <w:color w:val="auto"/>
                <w:szCs w:val="21"/>
              </w:rPr>
              <w:t>第七十二条</w:t>
            </w:r>
            <w:r>
              <w:rPr>
                <w:rFonts w:hint="eastAsia" w:ascii="宋体" w:hAnsi="宋体"/>
                <w:color w:val="auto"/>
                <w:szCs w:val="21"/>
                <w:lang w:val="en-US" w:eastAsia="zh-CN"/>
              </w:rPr>
              <w:t xml:space="preserve">  ……</w:t>
            </w:r>
          </w:p>
          <w:p>
            <w:pPr>
              <w:ind w:firstLine="420" w:firstLineChars="200"/>
              <w:jc w:val="both"/>
              <w:rPr>
                <w:rFonts w:hint="eastAsia" w:ascii="宋体" w:hAnsi="宋体"/>
                <w:color w:val="auto"/>
                <w:szCs w:val="21"/>
              </w:rPr>
            </w:pPr>
            <w:r>
              <w:rPr>
                <w:rFonts w:hint="eastAsia" w:ascii="宋体" w:hAnsi="宋体"/>
                <w:color w:val="auto"/>
                <w:szCs w:val="21"/>
              </w:rPr>
              <w:t>承担安全评价、认证、检测、检验职责的机构应当建立并实施服务公开和报告公开制度，不得租借资质、挂靠、出具虚假报告。</w:t>
            </w:r>
          </w:p>
          <w:p>
            <w:pPr>
              <w:jc w:val="both"/>
              <w:rPr>
                <w:rFonts w:hint="eastAsia" w:ascii="宋体" w:hAnsi="宋体"/>
                <w:color w:val="auto"/>
                <w:szCs w:val="21"/>
              </w:rPr>
            </w:pPr>
          </w:p>
        </w:tc>
        <w:tc>
          <w:tcPr>
            <w:tcW w:w="3918" w:type="dxa"/>
            <w:vAlign w:val="center"/>
          </w:tcPr>
          <w:p>
            <w:pPr>
              <w:ind w:firstLine="420" w:firstLineChars="200"/>
              <w:jc w:val="both"/>
              <w:rPr>
                <w:rFonts w:hint="eastAsia" w:ascii="宋体" w:hAnsi="宋体"/>
                <w:color w:val="auto"/>
                <w:szCs w:val="21"/>
                <w:lang w:val="en-US" w:eastAsia="zh-CN"/>
              </w:rPr>
            </w:pPr>
            <w:r>
              <w:rPr>
                <w:rFonts w:hint="eastAsia" w:ascii="宋体" w:hAnsi="宋体"/>
                <w:color w:val="auto"/>
                <w:szCs w:val="21"/>
                <w:lang w:eastAsia="zh-CN"/>
              </w:rPr>
              <w:t>《中华人民共和国安全生产法》</w:t>
            </w:r>
            <w:r>
              <w:rPr>
                <w:rFonts w:hint="eastAsia" w:ascii="宋体" w:hAnsi="宋体"/>
                <w:color w:val="auto"/>
                <w:szCs w:val="21"/>
              </w:rPr>
              <w:t>第九十二条</w:t>
            </w:r>
            <w:r>
              <w:rPr>
                <w:rFonts w:hint="eastAsia" w:ascii="宋体" w:hAnsi="宋体"/>
                <w:color w:val="auto"/>
                <w:szCs w:val="21"/>
                <w:lang w:val="en-US" w:eastAsia="zh-CN"/>
              </w:rPr>
              <w:t xml:space="preserve"> ……</w:t>
            </w:r>
          </w:p>
          <w:p>
            <w:pPr>
              <w:ind w:firstLine="420" w:firstLineChars="200"/>
              <w:jc w:val="both"/>
              <w:rPr>
                <w:rFonts w:hint="eastAsia" w:ascii="宋体" w:hAnsi="宋体"/>
                <w:color w:val="auto"/>
                <w:szCs w:val="21"/>
              </w:rPr>
            </w:pPr>
            <w:r>
              <w:rPr>
                <w:rFonts w:hint="eastAsia" w:ascii="宋体" w:hAnsi="宋体"/>
                <w:color w:val="auto"/>
                <w:szCs w:val="21"/>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宋体" w:hAnsi="宋体"/>
                <w:color w:val="auto"/>
                <w:szCs w:val="21"/>
                <w:lang w:val="en-US" w:eastAsia="zh-CN"/>
              </w:rPr>
              <w:t xml:space="preserve">     </w:t>
            </w:r>
            <w:r>
              <w:rPr>
                <w:rFonts w:hint="eastAsia" w:ascii="宋体" w:hAnsi="宋体"/>
                <w:color w:val="auto"/>
                <w:szCs w:val="21"/>
              </w:rPr>
              <w:t>　　</w:t>
            </w:r>
            <w:r>
              <w:rPr>
                <w:rFonts w:hint="eastAsia" w:ascii="宋体" w:hAnsi="宋体"/>
                <w:color w:val="auto"/>
                <w:szCs w:val="21"/>
                <w:lang w:val="en-US" w:eastAsia="zh-CN"/>
              </w:rPr>
              <w:t xml:space="preserve">                </w:t>
            </w:r>
            <w:r>
              <w:rPr>
                <w:rFonts w:hint="eastAsia" w:ascii="宋体" w:hAnsi="宋体"/>
                <w:color w:val="auto"/>
                <w:szCs w:val="21"/>
              </w:rPr>
              <w:t>对有前款违法行为的机构及其直接责任人员，吊销其相应资质和资格，五年内不得从事安全评价、认证、检测、检验等工作；情节严重的，实行终身行业和职业禁入。</w:t>
            </w:r>
          </w:p>
          <w:p>
            <w:pPr>
              <w:ind w:firstLine="420" w:firstLineChars="200"/>
              <w:jc w:val="both"/>
              <w:rPr>
                <w:rFonts w:hint="eastAsia" w:ascii="宋体" w:hAnsi="宋体"/>
                <w:color w:val="auto"/>
                <w:szCs w:val="21"/>
              </w:rPr>
            </w:pPr>
          </w:p>
          <w:p>
            <w:pPr>
              <w:ind w:firstLine="420" w:firstLineChars="200"/>
              <w:jc w:val="both"/>
              <w:rPr>
                <w:rFonts w:hint="eastAsia" w:ascii="宋体" w:hAnsi="宋体"/>
                <w:color w:val="auto"/>
                <w:szCs w:val="21"/>
              </w:rPr>
            </w:pPr>
          </w:p>
        </w:tc>
        <w:tc>
          <w:tcPr>
            <w:tcW w:w="819" w:type="dxa"/>
            <w:vAlign w:val="center"/>
          </w:tcPr>
          <w:p>
            <w:pPr>
              <w:jc w:val="both"/>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宋体" w:hAnsi="宋体"/>
                <w:color w:val="auto"/>
                <w:szCs w:val="21"/>
                <w:lang w:val="en-US" w:eastAsia="zh-CN"/>
              </w:rPr>
            </w:pPr>
          </w:p>
          <w:p>
            <w:pPr>
              <w:jc w:val="center"/>
              <w:rPr>
                <w:rFonts w:hint="eastAsia" w:ascii="宋体" w:hAnsi="宋体"/>
                <w:color w:val="auto"/>
                <w:szCs w:val="21"/>
                <w:lang w:val="en-US" w:eastAsia="zh-CN"/>
              </w:rPr>
            </w:pPr>
          </w:p>
          <w:p>
            <w:pPr>
              <w:jc w:val="center"/>
              <w:rPr>
                <w:rFonts w:hint="eastAsia" w:ascii="宋体" w:hAnsi="宋体"/>
                <w:color w:val="auto"/>
                <w:szCs w:val="21"/>
                <w:lang w:val="en-US" w:eastAsia="zh-CN"/>
              </w:rPr>
            </w:pPr>
          </w:p>
          <w:p>
            <w:pPr>
              <w:jc w:val="center"/>
              <w:rPr>
                <w:rFonts w:hint="eastAsia" w:ascii="宋体" w:hAnsi="宋体"/>
                <w:color w:val="auto"/>
                <w:szCs w:val="21"/>
                <w:lang w:val="en-US" w:eastAsia="zh-CN"/>
              </w:rPr>
            </w:pPr>
            <w:r>
              <w:rPr>
                <w:rFonts w:hint="eastAsia" w:ascii="宋体" w:hAnsi="宋体"/>
                <w:color w:val="auto"/>
                <w:szCs w:val="21"/>
                <w:lang w:val="en-US" w:eastAsia="zh-CN"/>
              </w:rPr>
              <w:t>25</w:t>
            </w:r>
          </w:p>
        </w:tc>
        <w:tc>
          <w:tcPr>
            <w:tcW w:w="1777" w:type="dxa"/>
            <w:vAlign w:val="center"/>
          </w:tcPr>
          <w:p>
            <w:pPr>
              <w:jc w:val="both"/>
              <w:rPr>
                <w:rFonts w:hint="eastAsia" w:ascii="宋体" w:hAnsi="宋体"/>
                <w:color w:val="auto"/>
                <w:szCs w:val="21"/>
                <w:lang w:eastAsia="zh-CN"/>
              </w:rPr>
            </w:pPr>
            <w:r>
              <w:rPr>
                <w:rFonts w:hint="eastAsia" w:ascii="宋体" w:hAnsi="宋体"/>
                <w:color w:val="auto"/>
                <w:szCs w:val="21"/>
                <w:lang w:eastAsia="zh-CN"/>
              </w:rPr>
              <w:t>高危行业配备注册安全工程师情况</w:t>
            </w:r>
          </w:p>
        </w:tc>
        <w:tc>
          <w:tcPr>
            <w:tcW w:w="1863" w:type="dxa"/>
            <w:vAlign w:val="center"/>
          </w:tcPr>
          <w:p>
            <w:pPr>
              <w:jc w:val="both"/>
              <w:rPr>
                <w:rFonts w:hint="eastAsia" w:ascii="宋体" w:hAnsi="宋体"/>
                <w:color w:val="auto"/>
                <w:szCs w:val="21"/>
                <w:lang w:val="en-US" w:eastAsia="zh-CN"/>
              </w:rPr>
            </w:pPr>
            <w:r>
              <w:rPr>
                <w:rFonts w:hint="eastAsia" w:ascii="宋体" w:hAnsi="宋体"/>
                <w:color w:val="auto"/>
                <w:szCs w:val="21"/>
              </w:rPr>
              <w:t>危险物品的生产、储存、装卸单位以及矿山、金属冶炼单位应当有注册安全工程师从事安全生产管理工作。</w:t>
            </w:r>
          </w:p>
        </w:tc>
        <w:tc>
          <w:tcPr>
            <w:tcW w:w="4640"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第二十七条</w:t>
            </w:r>
            <w:r>
              <w:rPr>
                <w:rFonts w:hint="eastAsia" w:ascii="宋体" w:hAnsi="宋体"/>
                <w:color w:val="auto"/>
                <w:szCs w:val="21"/>
                <w:lang w:val="en-US" w:eastAsia="zh-CN"/>
              </w:rPr>
              <w:t xml:space="preserve">  </w:t>
            </w:r>
            <w:r>
              <w:rPr>
                <w:rFonts w:hint="eastAsia" w:ascii="宋体" w:hAnsi="宋体"/>
                <w:color w:val="auto"/>
                <w:szCs w:val="21"/>
                <w:lang w:eastAsia="zh-CN"/>
              </w:rPr>
              <w:t>……</w:t>
            </w:r>
          </w:p>
          <w:p>
            <w:pPr>
              <w:ind w:firstLine="420" w:firstLineChars="200"/>
              <w:jc w:val="both"/>
              <w:rPr>
                <w:rFonts w:hint="eastAsia" w:ascii="宋体" w:hAnsi="宋体"/>
                <w:color w:val="auto"/>
                <w:szCs w:val="21"/>
              </w:rPr>
            </w:pPr>
            <w:r>
              <w:rPr>
                <w:rFonts w:hint="eastAsia" w:ascii="宋体" w:hAnsi="宋体"/>
                <w:color w:val="auto"/>
                <w:szCs w:val="21"/>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jc w:val="both"/>
              <w:rPr>
                <w:rFonts w:hint="eastAsia" w:ascii="宋体" w:hAnsi="宋体"/>
                <w:color w:val="auto"/>
                <w:szCs w:val="21"/>
              </w:rPr>
            </w:pPr>
          </w:p>
        </w:tc>
        <w:tc>
          <w:tcPr>
            <w:tcW w:w="3918" w:type="dxa"/>
            <w:vAlign w:val="center"/>
          </w:tcPr>
          <w:p>
            <w:pPr>
              <w:jc w:val="both"/>
              <w:rPr>
                <w:rFonts w:hint="eastAsia" w:ascii="宋体" w:hAnsi="宋体"/>
                <w:color w:val="auto"/>
                <w:szCs w:val="21"/>
              </w:rPr>
            </w:pPr>
            <w:r>
              <w:rPr>
                <w:rFonts w:hint="eastAsia" w:ascii="宋体" w:hAnsi="宋体"/>
                <w:color w:val="auto"/>
                <w:szCs w:val="21"/>
              </w:rPr>
              <w:t>　　</w:t>
            </w:r>
            <w:r>
              <w:rPr>
                <w:rFonts w:hint="eastAsia" w:ascii="宋体" w:hAnsi="宋体"/>
                <w:color w:val="auto"/>
                <w:szCs w:val="21"/>
                <w:lang w:eastAsia="zh-CN"/>
              </w:rPr>
              <w:t>《中华人民共和国安全生产法》</w:t>
            </w:r>
            <w:r>
              <w:rPr>
                <w:rFonts w:hint="eastAsia" w:ascii="宋体" w:hAnsi="宋体"/>
                <w:color w:val="auto"/>
                <w:szCs w:val="21"/>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jc w:val="both"/>
              <w:rPr>
                <w:rFonts w:hint="eastAsia" w:ascii="宋体" w:hAnsi="宋体"/>
                <w:color w:val="auto"/>
                <w:szCs w:val="21"/>
              </w:rPr>
            </w:pPr>
            <w:r>
              <w:rPr>
                <w:rFonts w:hint="eastAsia" w:ascii="宋体" w:hAnsi="宋体"/>
                <w:color w:val="auto"/>
                <w:szCs w:val="21"/>
              </w:rPr>
              <w:t>　　（一）未按照规定设置安全生产管理机构或者配备安全生产管理人员、注册安全工程师的；</w:t>
            </w:r>
          </w:p>
          <w:p>
            <w:pPr>
              <w:jc w:val="both"/>
              <w:rPr>
                <w:rFonts w:hint="eastAsia" w:ascii="宋体" w:hAnsi="宋体"/>
                <w:color w:val="auto"/>
                <w:szCs w:val="21"/>
              </w:rPr>
            </w:pPr>
          </w:p>
        </w:tc>
        <w:tc>
          <w:tcPr>
            <w:tcW w:w="819" w:type="dxa"/>
            <w:vAlign w:val="center"/>
          </w:tcPr>
          <w:p>
            <w:pPr>
              <w:jc w:val="both"/>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宋体" w:hAnsi="宋体"/>
                <w:color w:val="auto"/>
                <w:szCs w:val="21"/>
                <w:lang w:val="en-US" w:eastAsia="zh-CN"/>
              </w:rPr>
            </w:pPr>
            <w:r>
              <w:rPr>
                <w:rFonts w:hint="eastAsia" w:ascii="宋体" w:hAnsi="宋体"/>
                <w:color w:val="auto"/>
                <w:szCs w:val="21"/>
                <w:lang w:val="en-US" w:eastAsia="zh-CN"/>
              </w:rPr>
              <w:t>26</w:t>
            </w:r>
          </w:p>
        </w:tc>
        <w:tc>
          <w:tcPr>
            <w:tcW w:w="1777" w:type="dxa"/>
            <w:vAlign w:val="center"/>
          </w:tcPr>
          <w:p>
            <w:pPr>
              <w:jc w:val="both"/>
              <w:rPr>
                <w:rFonts w:hint="eastAsia" w:ascii="宋体" w:hAnsi="宋体" w:eastAsia="宋体"/>
                <w:color w:val="auto"/>
                <w:szCs w:val="21"/>
                <w:lang w:eastAsia="zh-CN"/>
              </w:rPr>
            </w:pPr>
            <w:r>
              <w:rPr>
                <w:rFonts w:hint="eastAsia" w:ascii="宋体" w:hAnsi="宋体"/>
                <w:color w:val="auto"/>
                <w:szCs w:val="21"/>
                <w:lang w:eastAsia="zh-CN"/>
              </w:rPr>
              <w:t>设备的维护情况</w:t>
            </w:r>
          </w:p>
        </w:tc>
        <w:tc>
          <w:tcPr>
            <w:tcW w:w="1863" w:type="dxa"/>
            <w:vAlign w:val="center"/>
          </w:tcPr>
          <w:p>
            <w:pPr>
              <w:jc w:val="both"/>
              <w:rPr>
                <w:rFonts w:hint="eastAsia" w:ascii="宋体" w:hAnsi="宋体" w:eastAsia="宋体"/>
                <w:color w:val="auto"/>
                <w:szCs w:val="21"/>
                <w:lang w:eastAsia="zh-CN"/>
              </w:rPr>
            </w:pPr>
            <w:r>
              <w:rPr>
                <w:rFonts w:hint="eastAsia" w:ascii="宋体" w:hAnsi="宋体"/>
                <w:color w:val="auto"/>
                <w:szCs w:val="21"/>
                <w:lang w:eastAsia="zh-CN"/>
              </w:rPr>
              <w:t>不得关闭、破坏直接关系生产安全的设备等</w:t>
            </w:r>
          </w:p>
        </w:tc>
        <w:tc>
          <w:tcPr>
            <w:tcW w:w="4640"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第三十六条　</w:t>
            </w:r>
            <w:r>
              <w:rPr>
                <w:rFonts w:hint="eastAsia" w:ascii="宋体" w:hAnsi="宋体"/>
                <w:color w:val="auto"/>
                <w:szCs w:val="21"/>
                <w:lang w:eastAsia="zh-CN"/>
              </w:rPr>
              <w:t>……</w:t>
            </w:r>
          </w:p>
          <w:p>
            <w:pPr>
              <w:ind w:firstLine="420" w:firstLineChars="200"/>
              <w:jc w:val="both"/>
              <w:rPr>
                <w:rFonts w:hint="eastAsia" w:ascii="宋体" w:hAnsi="宋体"/>
                <w:color w:val="auto"/>
                <w:szCs w:val="21"/>
              </w:rPr>
            </w:pPr>
            <w:r>
              <w:rPr>
                <w:rFonts w:hint="eastAsia" w:ascii="宋体" w:hAnsi="宋体"/>
                <w:color w:val="auto"/>
                <w:szCs w:val="21"/>
              </w:rPr>
              <w:t>生产经营单位不得关闭、破坏直接关系生产安全的监控、报警、防护、救生设备、设施，或者篡改、隐瞒、销毁其相关数据、信息。</w:t>
            </w:r>
          </w:p>
          <w:p>
            <w:pPr>
              <w:jc w:val="both"/>
              <w:rPr>
                <w:rFonts w:hint="eastAsia" w:ascii="宋体" w:hAnsi="宋体"/>
                <w:color w:val="auto"/>
                <w:szCs w:val="21"/>
              </w:rPr>
            </w:pPr>
          </w:p>
        </w:tc>
        <w:tc>
          <w:tcPr>
            <w:tcW w:w="3918"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jc w:val="both"/>
              <w:rPr>
                <w:rFonts w:hint="eastAsia" w:ascii="宋体" w:hAnsi="宋体"/>
                <w:color w:val="auto"/>
                <w:szCs w:val="21"/>
              </w:rPr>
            </w:pPr>
            <w:r>
              <w:rPr>
                <w:rFonts w:hint="eastAsia" w:ascii="宋体" w:hAnsi="宋体"/>
                <w:color w:val="auto"/>
                <w:szCs w:val="21"/>
              </w:rPr>
              <w:t>（四）关闭、破坏直接关系生产安全的监控、报警、防护、救生设备、设施，或者篡改、隐瞒、销毁其相关数据、信息的；</w:t>
            </w:r>
          </w:p>
        </w:tc>
        <w:tc>
          <w:tcPr>
            <w:tcW w:w="819" w:type="dxa"/>
            <w:vAlign w:val="center"/>
          </w:tcPr>
          <w:p>
            <w:pPr>
              <w:jc w:val="both"/>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w:t>
            </w:r>
          </w:p>
        </w:tc>
        <w:tc>
          <w:tcPr>
            <w:tcW w:w="1777" w:type="dxa"/>
            <w:vAlign w:val="center"/>
          </w:tcPr>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可燃气体报警装置</w:t>
            </w:r>
            <w:r>
              <w:rPr>
                <w:rFonts w:hint="eastAsia" w:asciiTheme="minorEastAsia" w:hAnsiTheme="minorEastAsia" w:eastAsiaTheme="minorEastAsia" w:cstheme="minorEastAsia"/>
                <w:color w:val="auto"/>
                <w:sz w:val="21"/>
                <w:szCs w:val="21"/>
                <w:lang w:eastAsia="zh-CN"/>
              </w:rPr>
              <w:t>情况</w:t>
            </w:r>
          </w:p>
        </w:tc>
        <w:tc>
          <w:tcPr>
            <w:tcW w:w="1863" w:type="dxa"/>
            <w:vAlign w:val="center"/>
          </w:tcPr>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使用燃气的生产经营单位可燃气体报警装置</w:t>
            </w:r>
          </w:p>
          <w:p>
            <w:pPr>
              <w:jc w:val="both"/>
              <w:rPr>
                <w:rFonts w:hint="eastAsia" w:asciiTheme="minorEastAsia" w:hAnsiTheme="minorEastAsia" w:eastAsiaTheme="minorEastAsia" w:cstheme="minorEastAsia"/>
                <w:color w:val="auto"/>
                <w:sz w:val="21"/>
                <w:szCs w:val="21"/>
              </w:rPr>
            </w:pPr>
          </w:p>
        </w:tc>
        <w:tc>
          <w:tcPr>
            <w:tcW w:w="4640" w:type="dxa"/>
            <w:vAlign w:val="center"/>
          </w:tcPr>
          <w:p>
            <w:pPr>
              <w:jc w:val="both"/>
              <w:rPr>
                <w:rFonts w:hint="eastAsia" w:asciiTheme="minorEastAsia" w:hAnsiTheme="minorEastAsia" w:eastAsiaTheme="minorEastAsia" w:cstheme="minorEastAsia"/>
                <w:color w:val="auto"/>
                <w:sz w:val="21"/>
                <w:szCs w:val="21"/>
              </w:rPr>
            </w:pPr>
          </w:p>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《中华人民共和国安全生产法》第三十六条</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餐饮等行业的生产经营单位使用燃气的，应当安装可燃气体报警装置，并保障其正常使用。</w:t>
            </w:r>
          </w:p>
          <w:p>
            <w:pPr>
              <w:jc w:val="both"/>
              <w:rPr>
                <w:rFonts w:hint="eastAsia" w:asciiTheme="minorEastAsia" w:hAnsiTheme="minorEastAsia" w:eastAsiaTheme="minorEastAsia" w:cstheme="minorEastAsia"/>
                <w:color w:val="auto"/>
                <w:sz w:val="21"/>
                <w:szCs w:val="21"/>
              </w:rPr>
            </w:pPr>
          </w:p>
        </w:tc>
        <w:tc>
          <w:tcPr>
            <w:tcW w:w="3918" w:type="dxa"/>
            <w:vAlign w:val="center"/>
          </w:tcPr>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《中华人民共和国安全生产法》</w:t>
            </w:r>
            <w:r>
              <w:rPr>
                <w:rFonts w:hint="eastAsia" w:asciiTheme="minorEastAsia" w:hAnsiTheme="minorEastAsia" w:eastAsiaTheme="minorEastAsia" w:cstheme="minorEastAsia"/>
                <w:color w:val="auto"/>
                <w:sz w:val="21"/>
                <w:szCs w:val="2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（八）餐饮等行业的生产经营单位使用燃气未安装可燃气体报警装置的。 </w:t>
            </w:r>
          </w:p>
        </w:tc>
        <w:tc>
          <w:tcPr>
            <w:tcW w:w="819" w:type="dxa"/>
            <w:vAlign w:val="center"/>
          </w:tcPr>
          <w:p>
            <w:pPr>
              <w:jc w:val="both"/>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宋体" w:hAnsi="宋体"/>
                <w:color w:val="auto"/>
                <w:szCs w:val="21"/>
                <w:lang w:val="en-US" w:eastAsia="zh-CN"/>
              </w:rPr>
            </w:pPr>
            <w:r>
              <w:rPr>
                <w:rFonts w:hint="eastAsia" w:ascii="宋体" w:hAnsi="宋体"/>
                <w:color w:val="auto"/>
                <w:szCs w:val="21"/>
                <w:lang w:val="en-US" w:eastAsia="zh-CN"/>
              </w:rPr>
              <w:t>28</w:t>
            </w:r>
          </w:p>
        </w:tc>
        <w:tc>
          <w:tcPr>
            <w:tcW w:w="1777" w:type="dxa"/>
            <w:vAlign w:val="center"/>
          </w:tcPr>
          <w:p>
            <w:pPr>
              <w:jc w:val="both"/>
              <w:rPr>
                <w:rFonts w:hint="eastAsia" w:ascii="宋体" w:hAnsi="宋体"/>
                <w:color w:val="auto"/>
                <w:szCs w:val="21"/>
              </w:rPr>
            </w:pPr>
            <w:r>
              <w:rPr>
                <w:rFonts w:hint="eastAsia" w:ascii="宋体" w:hAnsi="宋体"/>
                <w:color w:val="auto"/>
                <w:szCs w:val="21"/>
              </w:rPr>
              <w:t>建立安全风险分级管控制度</w:t>
            </w:r>
            <w:r>
              <w:rPr>
                <w:rFonts w:hint="eastAsia" w:ascii="宋体" w:hAnsi="宋体"/>
                <w:color w:val="auto"/>
                <w:szCs w:val="21"/>
                <w:lang w:eastAsia="zh-CN"/>
              </w:rPr>
              <w:t>情况</w:t>
            </w:r>
          </w:p>
        </w:tc>
        <w:tc>
          <w:tcPr>
            <w:tcW w:w="1863" w:type="dxa"/>
            <w:vAlign w:val="center"/>
          </w:tcPr>
          <w:p>
            <w:pPr>
              <w:jc w:val="both"/>
              <w:rPr>
                <w:rFonts w:hint="eastAsia" w:ascii="宋体" w:hAnsi="宋体"/>
                <w:color w:val="auto"/>
                <w:szCs w:val="21"/>
              </w:rPr>
            </w:pPr>
            <w:r>
              <w:rPr>
                <w:rFonts w:hint="eastAsia" w:ascii="宋体" w:hAnsi="宋体"/>
                <w:color w:val="auto"/>
                <w:szCs w:val="21"/>
              </w:rPr>
              <w:t>建立安全风险分级管控制度</w:t>
            </w:r>
            <w:r>
              <w:rPr>
                <w:rFonts w:hint="eastAsia" w:ascii="宋体" w:hAnsi="宋体"/>
                <w:color w:val="auto"/>
                <w:szCs w:val="21"/>
                <w:lang w:eastAsia="zh-CN"/>
              </w:rPr>
              <w:t>，采取管控措施</w:t>
            </w:r>
          </w:p>
        </w:tc>
        <w:tc>
          <w:tcPr>
            <w:tcW w:w="4640"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第四十一条　生产经营单位应当建立安全风险分级管控制度，按照安全风险分级采取相应的管控措施。</w:t>
            </w:r>
          </w:p>
          <w:p>
            <w:pPr>
              <w:jc w:val="both"/>
              <w:rPr>
                <w:rFonts w:hint="eastAsia" w:ascii="宋体" w:hAnsi="宋体"/>
                <w:color w:val="auto"/>
                <w:szCs w:val="21"/>
              </w:rPr>
            </w:pPr>
          </w:p>
        </w:tc>
        <w:tc>
          <w:tcPr>
            <w:tcW w:w="3918"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ind w:firstLine="420" w:firstLineChars="200"/>
              <w:jc w:val="both"/>
              <w:rPr>
                <w:rFonts w:hint="eastAsia" w:ascii="宋体" w:hAnsi="宋体"/>
                <w:color w:val="auto"/>
                <w:szCs w:val="21"/>
              </w:rPr>
            </w:pPr>
            <w:r>
              <w:rPr>
                <w:rFonts w:hint="eastAsia" w:ascii="宋体" w:hAnsi="宋体"/>
                <w:color w:val="auto"/>
                <w:szCs w:val="21"/>
              </w:rPr>
              <w:t>（四）未建立安全风险分级管控制度或者未按照安全风险分级采取相应管控措施的；</w:t>
            </w:r>
          </w:p>
        </w:tc>
        <w:tc>
          <w:tcPr>
            <w:tcW w:w="819" w:type="dxa"/>
            <w:vAlign w:val="center"/>
          </w:tcPr>
          <w:p>
            <w:pPr>
              <w:jc w:val="both"/>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宋体" w:hAnsi="宋体"/>
                <w:color w:val="auto"/>
                <w:szCs w:val="21"/>
                <w:lang w:val="en-US" w:eastAsia="zh-CN"/>
              </w:rPr>
            </w:pPr>
            <w:r>
              <w:rPr>
                <w:rFonts w:hint="eastAsia" w:ascii="宋体" w:hAnsi="宋体"/>
                <w:color w:val="auto"/>
                <w:szCs w:val="21"/>
                <w:lang w:val="en-US" w:eastAsia="zh-CN"/>
              </w:rPr>
              <w:t>29</w:t>
            </w:r>
          </w:p>
        </w:tc>
        <w:tc>
          <w:tcPr>
            <w:tcW w:w="1777" w:type="dxa"/>
            <w:vAlign w:val="center"/>
          </w:tcPr>
          <w:p>
            <w:pPr>
              <w:jc w:val="both"/>
              <w:rPr>
                <w:rFonts w:hint="eastAsia" w:ascii="宋体" w:hAnsi="宋体" w:eastAsia="宋体"/>
                <w:color w:val="auto"/>
                <w:szCs w:val="21"/>
                <w:lang w:eastAsia="zh-CN"/>
              </w:rPr>
            </w:pPr>
            <w:r>
              <w:rPr>
                <w:rFonts w:hint="eastAsia" w:ascii="宋体" w:hAnsi="宋体"/>
                <w:color w:val="auto"/>
                <w:szCs w:val="21"/>
                <w:lang w:eastAsia="zh-CN"/>
              </w:rPr>
              <w:t>高危行业施工单位对施工项目的安全管理情况</w:t>
            </w:r>
          </w:p>
        </w:tc>
        <w:tc>
          <w:tcPr>
            <w:tcW w:w="1863" w:type="dxa"/>
            <w:vAlign w:val="center"/>
          </w:tcPr>
          <w:p>
            <w:pPr>
              <w:jc w:val="both"/>
              <w:rPr>
                <w:rFonts w:hint="eastAsia" w:ascii="宋体" w:hAnsi="宋体"/>
                <w:color w:val="auto"/>
                <w:szCs w:val="21"/>
              </w:rPr>
            </w:pPr>
            <w:r>
              <w:rPr>
                <w:rFonts w:hint="eastAsia" w:ascii="宋体" w:hAnsi="宋体"/>
                <w:color w:val="auto"/>
                <w:szCs w:val="21"/>
              </w:rPr>
              <w:t>施工单位应当加强对施工项目的安全管理</w:t>
            </w:r>
          </w:p>
        </w:tc>
        <w:tc>
          <w:tcPr>
            <w:tcW w:w="4640" w:type="dxa"/>
            <w:vAlign w:val="center"/>
          </w:tcPr>
          <w:p>
            <w:pPr>
              <w:jc w:val="both"/>
              <w:rPr>
                <w:rFonts w:hint="eastAsia" w:ascii="宋体" w:hAnsi="宋体"/>
                <w:color w:val="auto"/>
                <w:szCs w:val="21"/>
              </w:rPr>
            </w:pPr>
            <w:r>
              <w:rPr>
                <w:rFonts w:hint="eastAsia" w:ascii="宋体" w:hAnsi="宋体"/>
                <w:color w:val="auto"/>
                <w:szCs w:val="21"/>
              </w:rPr>
              <w:t>　</w:t>
            </w:r>
            <w:r>
              <w:rPr>
                <w:rFonts w:hint="eastAsia" w:ascii="宋体" w:hAnsi="宋体"/>
                <w:color w:val="auto"/>
                <w:szCs w:val="21"/>
                <w:lang w:val="en-US" w:eastAsia="zh-CN"/>
              </w:rPr>
              <w:t xml:space="preserve"> </w:t>
            </w:r>
            <w:r>
              <w:rPr>
                <w:rFonts w:hint="eastAsia" w:ascii="宋体" w:hAnsi="宋体"/>
                <w:color w:val="auto"/>
                <w:szCs w:val="21"/>
                <w:lang w:eastAsia="zh-CN"/>
              </w:rPr>
              <w:t>《中华人民共和国安全生产法》</w:t>
            </w:r>
            <w:r>
              <w:rPr>
                <w:rFonts w:hint="eastAsia" w:ascii="宋体" w:hAnsi="宋体"/>
                <w:color w:val="auto"/>
                <w:szCs w:val="21"/>
              </w:rPr>
              <w:t>第四十九条</w:t>
            </w:r>
            <w:r>
              <w:rPr>
                <w:rFonts w:hint="eastAsia" w:ascii="宋体" w:hAnsi="宋体"/>
                <w:color w:val="auto"/>
                <w:szCs w:val="21"/>
                <w:lang w:val="en-US" w:eastAsia="zh-CN"/>
              </w:rPr>
              <w:t xml:space="preserve">  ……</w:t>
            </w:r>
          </w:p>
          <w:p>
            <w:pPr>
              <w:ind w:firstLine="420" w:firstLineChars="200"/>
              <w:jc w:val="both"/>
              <w:rPr>
                <w:rFonts w:hint="eastAsia" w:ascii="宋体" w:hAnsi="宋体"/>
                <w:color w:val="auto"/>
                <w:szCs w:val="21"/>
              </w:rPr>
            </w:pPr>
            <w:r>
              <w:rPr>
                <w:rFonts w:hint="eastAsia" w:ascii="宋体" w:hAnsi="宋体"/>
                <w:color w:val="auto"/>
                <w:szCs w:val="21"/>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jc w:val="both"/>
              <w:rPr>
                <w:rFonts w:hint="eastAsia" w:ascii="宋体" w:hAnsi="宋体"/>
                <w:color w:val="auto"/>
                <w:szCs w:val="21"/>
              </w:rPr>
            </w:pPr>
          </w:p>
        </w:tc>
        <w:tc>
          <w:tcPr>
            <w:tcW w:w="3918" w:type="dxa"/>
            <w:vAlign w:val="center"/>
          </w:tcPr>
          <w:p>
            <w:pPr>
              <w:ind w:firstLine="420" w:firstLineChars="200"/>
              <w:jc w:val="both"/>
              <w:rPr>
                <w:rFonts w:hint="eastAsia" w:ascii="宋体" w:hAnsi="宋体"/>
                <w:color w:val="auto"/>
                <w:szCs w:val="21"/>
                <w:lang w:val="en-US" w:eastAsia="zh-CN"/>
              </w:rPr>
            </w:pPr>
            <w:r>
              <w:rPr>
                <w:rFonts w:hint="eastAsia" w:ascii="宋体" w:hAnsi="宋体"/>
                <w:color w:val="auto"/>
                <w:szCs w:val="21"/>
                <w:lang w:eastAsia="zh-CN"/>
              </w:rPr>
              <w:t>《中华人民共和国安全生产法》第一百零三条</w:t>
            </w:r>
            <w:r>
              <w:rPr>
                <w:rFonts w:hint="eastAsia" w:ascii="宋体" w:hAnsi="宋体"/>
                <w:color w:val="auto"/>
                <w:szCs w:val="21"/>
                <w:lang w:val="en-US" w:eastAsia="zh-CN"/>
              </w:rPr>
              <w:t xml:space="preserve"> ……</w:t>
            </w:r>
          </w:p>
          <w:p>
            <w:pPr>
              <w:ind w:firstLine="420" w:firstLineChars="200"/>
              <w:jc w:val="both"/>
              <w:rPr>
                <w:rFonts w:hint="eastAsia" w:ascii="宋体" w:hAnsi="宋体"/>
                <w:color w:val="auto"/>
                <w:szCs w:val="21"/>
              </w:rPr>
            </w:pPr>
            <w:r>
              <w:rPr>
                <w:rFonts w:hint="eastAsia" w:ascii="宋体" w:hAnsi="宋体"/>
                <w:color w:val="auto"/>
                <w:szCs w:val="21"/>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819" w:type="dxa"/>
            <w:vAlign w:val="center"/>
          </w:tcPr>
          <w:p>
            <w:pPr>
              <w:jc w:val="both"/>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宋体" w:hAnsi="宋体"/>
                <w:color w:val="auto"/>
                <w:szCs w:val="21"/>
                <w:lang w:val="en-US" w:eastAsia="zh-CN"/>
              </w:rPr>
            </w:pPr>
            <w:r>
              <w:rPr>
                <w:rFonts w:hint="eastAsia" w:ascii="宋体" w:hAnsi="宋体"/>
                <w:color w:val="auto"/>
                <w:szCs w:val="21"/>
                <w:lang w:val="en-US" w:eastAsia="zh-CN"/>
              </w:rPr>
              <w:t>30</w:t>
            </w:r>
          </w:p>
        </w:tc>
        <w:tc>
          <w:tcPr>
            <w:tcW w:w="1777" w:type="dxa"/>
            <w:vAlign w:val="center"/>
          </w:tcPr>
          <w:p>
            <w:pPr>
              <w:jc w:val="both"/>
              <w:rPr>
                <w:rFonts w:hint="eastAsia" w:ascii="宋体" w:hAnsi="宋体" w:eastAsia="宋体"/>
                <w:color w:val="auto"/>
                <w:szCs w:val="21"/>
                <w:lang w:eastAsia="zh-CN"/>
              </w:rPr>
            </w:pPr>
            <w:r>
              <w:rPr>
                <w:rFonts w:hint="eastAsia" w:ascii="宋体" w:hAnsi="宋体"/>
                <w:color w:val="auto"/>
                <w:szCs w:val="21"/>
                <w:lang w:eastAsia="zh-CN"/>
              </w:rPr>
              <w:t>高危行业投保安全生产责任保险情况</w:t>
            </w:r>
          </w:p>
        </w:tc>
        <w:tc>
          <w:tcPr>
            <w:tcW w:w="1863" w:type="dxa"/>
            <w:vAlign w:val="center"/>
          </w:tcPr>
          <w:p>
            <w:pPr>
              <w:jc w:val="both"/>
              <w:rPr>
                <w:rFonts w:hint="eastAsia" w:ascii="宋体" w:hAnsi="宋体"/>
                <w:color w:val="auto"/>
                <w:szCs w:val="21"/>
              </w:rPr>
            </w:pPr>
            <w:r>
              <w:rPr>
                <w:rFonts w:hint="eastAsia" w:ascii="宋体" w:hAnsi="宋体"/>
                <w:color w:val="auto"/>
                <w:szCs w:val="21"/>
              </w:rPr>
              <w:t>高危行业、领域的生产经营单位应当投保安全生产责任保险</w:t>
            </w:r>
          </w:p>
        </w:tc>
        <w:tc>
          <w:tcPr>
            <w:tcW w:w="4640"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第五十一条</w:t>
            </w:r>
            <w:r>
              <w:rPr>
                <w:rFonts w:hint="eastAsia" w:ascii="宋体" w:hAnsi="宋体"/>
                <w:color w:val="auto"/>
                <w:szCs w:val="21"/>
                <w:lang w:val="en-US" w:eastAsia="zh-CN"/>
              </w:rPr>
              <w:t xml:space="preserve"> </w:t>
            </w:r>
            <w:r>
              <w:rPr>
                <w:rFonts w:hint="eastAsia" w:ascii="宋体" w:hAnsi="宋体"/>
                <w:color w:val="auto"/>
                <w:szCs w:val="21"/>
                <w:lang w:eastAsia="zh-CN"/>
              </w:rPr>
              <w:t>……</w:t>
            </w:r>
          </w:p>
          <w:p>
            <w:pPr>
              <w:jc w:val="both"/>
              <w:rPr>
                <w:rFonts w:hint="eastAsia" w:ascii="宋体" w:hAnsi="宋体"/>
                <w:color w:val="auto"/>
                <w:szCs w:val="21"/>
              </w:rPr>
            </w:pPr>
            <w:r>
              <w:rPr>
                <w:rFonts w:hint="eastAsia" w:ascii="宋体" w:hAnsi="宋体"/>
                <w:color w:val="auto"/>
                <w:szCs w:val="21"/>
              </w:rPr>
              <w:t>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tc>
        <w:tc>
          <w:tcPr>
            <w:tcW w:w="3918"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第一百零九条  高危行业、领域的生产经营单位未按照国家规定投保安全生产责任保险的，责令限期改正，处五万元以上十万元以下的罚款；逾期未改正的，处十万元以上二十万元以下的罚款。</w:t>
            </w:r>
          </w:p>
        </w:tc>
        <w:tc>
          <w:tcPr>
            <w:tcW w:w="819" w:type="dxa"/>
            <w:vAlign w:val="center"/>
          </w:tcPr>
          <w:p>
            <w:pPr>
              <w:jc w:val="both"/>
              <w:rPr>
                <w:rFonts w:hint="eastAsia" w:ascii="宋体" w:hAnsi="宋体"/>
                <w:color w:val="auto"/>
                <w:szCs w:val="21"/>
              </w:rPr>
            </w:pPr>
          </w:p>
        </w:tc>
      </w:tr>
      <w:bookmarkEnd w:id="1"/>
    </w:tbl>
    <w:p>
      <w:pPr>
        <w:pStyle w:val="2"/>
        <w:ind w:left="0" w:leftChars="0" w:firstLine="0" w:firstLineChars="0"/>
        <w:sectPr>
          <w:footerReference r:id="rId3" w:type="default"/>
          <w:pgSz w:w="16838" w:h="11906" w:orient="landscape"/>
          <w:pgMar w:top="1349" w:right="1440" w:bottom="612" w:left="1440" w:header="851" w:footer="992" w:gutter="0"/>
          <w:pgNumType w:fmt="decimal" w:start="1"/>
          <w:cols w:space="425" w:num="1"/>
          <w:docGrid w:type="lines" w:linePitch="312" w:charSpace="0"/>
        </w:sectPr>
      </w:pPr>
    </w:p>
    <w:p/>
    <w:sectPr>
      <w:footerReference r:id="rId4" w:type="default"/>
      <w:pgSz w:w="16838" w:h="11906" w:orient="landscape"/>
      <w:pgMar w:top="1349" w:right="1440" w:bottom="612"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92B3A5"/>
    <w:multiLevelType w:val="singleLevel"/>
    <w:tmpl w:val="AA92B3A5"/>
    <w:lvl w:ilvl="0" w:tentative="0">
      <w:start w:val="2"/>
      <w:numFmt w:val="chineseCounting"/>
      <w:suff w:val="nothing"/>
      <w:lvlText w:val="（%1）"/>
      <w:lvlJc w:val="left"/>
      <w:rPr>
        <w:rFonts w:hint="eastAsia"/>
      </w:rPr>
    </w:lvl>
  </w:abstractNum>
  <w:abstractNum w:abstractNumId="1">
    <w:nsid w:val="64489E23"/>
    <w:multiLevelType w:val="singleLevel"/>
    <w:tmpl w:val="64489E23"/>
    <w:lvl w:ilvl="0" w:tentative="0">
      <w:start w:val="1"/>
      <w:numFmt w:val="chineseCounting"/>
      <w:suff w:val="nothing"/>
      <w:lvlText w:val="（%1）"/>
      <w:lvlJc w:val="left"/>
    </w:lvl>
  </w:abstractNum>
  <w:abstractNum w:abstractNumId="2">
    <w:nsid w:val="6448A797"/>
    <w:multiLevelType w:val="singleLevel"/>
    <w:tmpl w:val="6448A797"/>
    <w:lvl w:ilvl="0" w:tentative="0">
      <w:start w:val="1"/>
      <w:numFmt w:val="chineseCounting"/>
      <w:suff w:val="nothing"/>
      <w:lvlText w:val="（%1）"/>
      <w:lvlJc w:val="left"/>
    </w:lvl>
  </w:abstractNum>
  <w:abstractNum w:abstractNumId="3">
    <w:nsid w:val="6448B320"/>
    <w:multiLevelType w:val="singleLevel"/>
    <w:tmpl w:val="6448B320"/>
    <w:lvl w:ilvl="0" w:tentative="0">
      <w:start w:val="1"/>
      <w:numFmt w:val="chineseCounting"/>
      <w:suff w:val="nothing"/>
      <w:lvlText w:val="（%1）"/>
      <w:lvlJc w:val="left"/>
    </w:lvl>
  </w:abstractNum>
  <w:abstractNum w:abstractNumId="4">
    <w:nsid w:val="6448B44D"/>
    <w:multiLevelType w:val="singleLevel"/>
    <w:tmpl w:val="6448B44D"/>
    <w:lvl w:ilvl="0" w:tentative="0">
      <w:start w:val="5"/>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YjQzMzdjZTM5YTU4ODQ1NThlOTk0M2JhYzU4MTEifQ=="/>
  </w:docVars>
  <w:rsids>
    <w:rsidRoot w:val="4F136DA7"/>
    <w:rsid w:val="09FE6D72"/>
    <w:rsid w:val="0CFB422A"/>
    <w:rsid w:val="280015E2"/>
    <w:rsid w:val="2DEF0D0B"/>
    <w:rsid w:val="31413B18"/>
    <w:rsid w:val="387C0543"/>
    <w:rsid w:val="391C6AF7"/>
    <w:rsid w:val="3B9643C5"/>
    <w:rsid w:val="48024AFB"/>
    <w:rsid w:val="4F136DA7"/>
    <w:rsid w:val="51BA00E3"/>
    <w:rsid w:val="565229F6"/>
    <w:rsid w:val="60C66381"/>
    <w:rsid w:val="6D5224EF"/>
    <w:rsid w:val="7AFA7783"/>
    <w:rsid w:val="7D31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4">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2023-05-17T03:29:00Z</dcterms:created>
  <dc:creator>仙贝</dc:creator>
  <cp:lastModifiedBy>Administrator</cp:lastModifiedBy>
  <cp:lastPrinted>2023-05-26T11:10:00Z</cp:lastPrinted>
  <dcterms:modified xsi:type="dcterms:W3CDTF">2025-09-12T03:43:44Z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B39C7E770BCB4A068A1772DEAA9D576E</vt:lpwstr>
  </property>
</Properties>
</file>